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3B8435E7" w:rsidR="00895A68" w:rsidRPr="00DC7187" w:rsidRDefault="00E5269E" w:rsidP="00976DB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976DBD">
              <w:rPr>
                <w:b/>
                <w:bCs/>
                <w:szCs w:val="28"/>
                <w:lang w:val="uk-UA"/>
              </w:rPr>
              <w:t>ої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EA701E">
              <w:rPr>
                <w:b/>
                <w:bCs/>
                <w:szCs w:val="28"/>
                <w:lang w:val="uk-UA"/>
              </w:rPr>
              <w:t>й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та передачі земельних ділянок в оренду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3063051C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>Керуючись статтями 12, 3</w:t>
      </w:r>
      <w:r>
        <w:rPr>
          <w:bCs/>
          <w:szCs w:val="28"/>
          <w:lang w:val="uk-UA"/>
        </w:rPr>
        <w:t>7-1</w:t>
      </w:r>
      <w:r w:rsidRPr="00C62CFF">
        <w:rPr>
          <w:bCs/>
          <w:szCs w:val="28"/>
          <w:lang w:val="uk-UA"/>
        </w:rPr>
        <w:t xml:space="preserve">, 79-1, 93, 122, 123, 124, 134, </w:t>
      </w:r>
      <w:r w:rsidR="007210B5">
        <w:rPr>
          <w:bCs/>
          <w:szCs w:val="28"/>
          <w:lang w:val="uk-UA"/>
        </w:rPr>
        <w:t xml:space="preserve">пунктом 3 частини 5 статті </w:t>
      </w:r>
      <w:r w:rsidRPr="00C62CFF">
        <w:rPr>
          <w:bCs/>
          <w:szCs w:val="28"/>
          <w:lang w:val="uk-UA"/>
        </w:rPr>
        <w:t>186 Земельного ко</w:t>
      </w:r>
      <w:r w:rsidR="007364EC">
        <w:rPr>
          <w:bCs/>
          <w:szCs w:val="28"/>
          <w:lang w:val="uk-UA"/>
        </w:rPr>
        <w:t>дексу України, статтями 20, 25,</w:t>
      </w:r>
      <w:r w:rsidR="00FA4EC2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>акону України «Про землеустрій», Законом України «Про оренду землі</w:t>
      </w:r>
      <w:r w:rsidR="007364EC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>,</w:t>
      </w:r>
      <w:r w:rsidR="00B647C2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DE33A4" w:rsidRPr="00DE33A4">
        <w:rPr>
          <w:bCs/>
          <w:szCs w:val="28"/>
          <w:lang w:val="uk-UA"/>
        </w:rPr>
        <w:t xml:space="preserve"> </w:t>
      </w:r>
      <w:r w:rsidR="00B647C2">
        <w:rPr>
          <w:bCs/>
          <w:szCs w:val="28"/>
          <w:lang w:val="uk-UA"/>
        </w:rPr>
        <w:t>п</w:t>
      </w:r>
      <w:r w:rsidR="00DE33A4">
        <w:rPr>
          <w:bCs/>
          <w:szCs w:val="28"/>
          <w:lang w:val="uk-UA"/>
        </w:rPr>
        <w:t>остановою Кабінету Міністрів України від 5 червня 2019 року № 476 «</w:t>
      </w:r>
      <w:r w:rsidR="00DE33A4" w:rsidRPr="007364EC">
        <w:rPr>
          <w:bCs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E33A4">
        <w:rPr>
          <w:bCs/>
          <w:szCs w:val="28"/>
          <w:lang w:val="uk-UA"/>
        </w:rPr>
        <w:t>»,</w:t>
      </w:r>
      <w:r w:rsidRPr="00C62CFF">
        <w:rPr>
          <w:bCs/>
          <w:szCs w:val="28"/>
          <w:lang w:val="uk-UA"/>
        </w:rPr>
        <w:t xml:space="preserve">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 w:rsidR="007364EC">
        <w:rPr>
          <w:bCs/>
          <w:szCs w:val="28"/>
          <w:lang w:val="uk-UA"/>
        </w:rPr>
        <w:t>Б</w:t>
      </w:r>
      <w:r w:rsidR="00CF2BBA">
        <w:rPr>
          <w:bCs/>
          <w:szCs w:val="28"/>
          <w:lang w:val="uk-UA"/>
        </w:rPr>
        <w:t>іг</w:t>
      </w:r>
      <w:r w:rsidR="007364EC">
        <w:rPr>
          <w:bCs/>
          <w:szCs w:val="28"/>
          <w:lang w:val="uk-UA"/>
        </w:rPr>
        <w:t>Райз-СВ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 xml:space="preserve">(код ЄДРПОУ </w:t>
      </w:r>
      <w:r w:rsidR="007364EC">
        <w:rPr>
          <w:bCs/>
          <w:szCs w:val="28"/>
          <w:lang w:val="uk-UA"/>
        </w:rPr>
        <w:t>35029070</w:t>
      </w:r>
      <w:r w:rsidRPr="00E5269E">
        <w:rPr>
          <w:bCs/>
          <w:szCs w:val="28"/>
          <w:lang w:val="uk-UA"/>
        </w:rPr>
        <w:t>)</w:t>
      </w:r>
      <w:r w:rsidR="00E5269E" w:rsidRPr="00E5269E">
        <w:rPr>
          <w:bCs/>
          <w:szCs w:val="28"/>
          <w:lang w:val="uk-UA"/>
        </w:rPr>
        <w:t>, 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1BA4E95E" w:rsidR="00E5269E" w:rsidRPr="00E5269E" w:rsidRDefault="00E5269E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 для ведення товарного сільськогосподарського виробництва (</w:t>
      </w:r>
      <w:r w:rsidR="00C62CFF">
        <w:rPr>
          <w:bCs/>
          <w:szCs w:val="28"/>
          <w:lang w:val="uk-UA"/>
        </w:rPr>
        <w:t>код КВЦПЗ-01.01</w:t>
      </w:r>
      <w:r w:rsidRPr="00E5269E">
        <w:rPr>
          <w:bCs/>
          <w:szCs w:val="28"/>
          <w:lang w:val="uk-UA"/>
        </w:rPr>
        <w:t>) (під польовими дорогами, запроектованими для доступу до земельних ділянок, розташованих у масиві земель сільськогосподарського призначення)</w:t>
      </w:r>
      <w:r w:rsidRPr="00E5269E">
        <w:rPr>
          <w:lang w:val="uk-UA"/>
        </w:rPr>
        <w:t xml:space="preserve"> </w:t>
      </w:r>
      <w:r w:rsidRPr="00E5269E">
        <w:rPr>
          <w:bCs/>
          <w:szCs w:val="28"/>
          <w:lang w:val="uk-UA"/>
        </w:rPr>
        <w:t>розташован</w:t>
      </w:r>
      <w:r w:rsidR="007364EC">
        <w:rPr>
          <w:bCs/>
          <w:szCs w:val="28"/>
          <w:lang w:val="uk-UA"/>
        </w:rPr>
        <w:t>их</w:t>
      </w:r>
      <w:r w:rsidRPr="00E5269E">
        <w:rPr>
          <w:bCs/>
          <w:szCs w:val="28"/>
          <w:lang w:val="uk-UA"/>
        </w:rPr>
        <w:t xml:space="preserve"> за межами </w:t>
      </w:r>
      <w:r w:rsidR="007364EC">
        <w:rPr>
          <w:bCs/>
          <w:szCs w:val="28"/>
          <w:lang w:val="uk-UA"/>
        </w:rPr>
        <w:t>с. Куражин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010D79F9" w14:textId="52BDE4B8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Передати в оренду ТОВ </w:t>
      </w:r>
      <w:r w:rsidR="007364EC" w:rsidRPr="007364EC">
        <w:rPr>
          <w:bCs/>
          <w:szCs w:val="28"/>
          <w:lang w:val="uk-UA"/>
        </w:rPr>
        <w:t>«</w:t>
      </w:r>
      <w:proofErr w:type="spellStart"/>
      <w:r w:rsidR="007364EC" w:rsidRPr="007364EC">
        <w:rPr>
          <w:bCs/>
          <w:szCs w:val="28"/>
          <w:lang w:val="uk-UA"/>
        </w:rPr>
        <w:t>БігРайз</w:t>
      </w:r>
      <w:proofErr w:type="spellEnd"/>
      <w:r w:rsidR="007364EC" w:rsidRPr="007364EC">
        <w:rPr>
          <w:bCs/>
          <w:szCs w:val="28"/>
          <w:lang w:val="uk-UA"/>
        </w:rPr>
        <w:t>-СВ»</w:t>
      </w:r>
      <w:r w:rsidR="00B647C2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терміном на 7 (сім) років земельні ділянки </w:t>
      </w:r>
      <w:r w:rsidR="00E81670">
        <w:rPr>
          <w:bCs/>
          <w:szCs w:val="28"/>
          <w:lang w:val="uk-UA"/>
        </w:rPr>
        <w:t>за переліком</w:t>
      </w:r>
      <w:r w:rsidR="00CF2BBA">
        <w:rPr>
          <w:bCs/>
          <w:szCs w:val="28"/>
          <w:lang w:val="uk-UA"/>
        </w:rPr>
        <w:t xml:space="preserve"> згідно Додатку,</w:t>
      </w:r>
      <w:r w:rsidR="00E5269E" w:rsidRPr="00E5269E">
        <w:rPr>
          <w:bCs/>
          <w:szCs w:val="28"/>
          <w:lang w:val="uk-UA"/>
        </w:rPr>
        <w:t xml:space="preserve"> загальною площею </w:t>
      </w:r>
      <w:r w:rsidR="007364EC">
        <w:rPr>
          <w:bCs/>
          <w:szCs w:val="28"/>
          <w:lang w:val="uk-UA"/>
        </w:rPr>
        <w:t>7</w:t>
      </w:r>
      <w:r w:rsidR="00C62CFF" w:rsidRPr="00C62CFF">
        <w:rPr>
          <w:bCs/>
          <w:szCs w:val="28"/>
          <w:lang w:val="uk-UA"/>
        </w:rPr>
        <w:t>,</w:t>
      </w:r>
      <w:r w:rsidR="007364EC">
        <w:rPr>
          <w:bCs/>
          <w:szCs w:val="28"/>
          <w:lang w:val="uk-UA"/>
        </w:rPr>
        <w:t>2753</w:t>
      </w:r>
      <w:r w:rsidR="00E5269E" w:rsidRPr="00C62CFF">
        <w:rPr>
          <w:bCs/>
          <w:szCs w:val="28"/>
          <w:lang w:val="uk-UA"/>
        </w:rPr>
        <w:t xml:space="preserve"> га, </w:t>
      </w:r>
      <w:r w:rsidR="00E5269E" w:rsidRPr="00E5269E">
        <w:rPr>
          <w:bCs/>
          <w:szCs w:val="28"/>
          <w:lang w:val="uk-UA"/>
        </w:rPr>
        <w:t>для ведення товарного сільськогосподарського виробництва (</w:t>
      </w:r>
      <w:r w:rsidR="00C62CFF" w:rsidRPr="00C62CFF">
        <w:rPr>
          <w:bCs/>
          <w:szCs w:val="28"/>
          <w:lang w:val="uk-UA"/>
        </w:rPr>
        <w:t>код КВЦПЗ-01.01</w:t>
      </w:r>
      <w:r w:rsidR="00E5269E" w:rsidRPr="00E5269E">
        <w:rPr>
          <w:bCs/>
          <w:szCs w:val="28"/>
          <w:lang w:val="uk-UA"/>
        </w:rPr>
        <w:t xml:space="preserve">) (під польовими дорогами, запроектованими для доступу до земельних ділянок, розташованих у масиві земель сільськогосподарського призначення), розташовані за межами </w:t>
      </w:r>
      <w:r w:rsidR="007364EC">
        <w:rPr>
          <w:bCs/>
          <w:szCs w:val="28"/>
          <w:lang w:val="uk-UA"/>
        </w:rPr>
        <w:t>с. Куражин</w:t>
      </w:r>
      <w:r w:rsidR="00E5269E" w:rsidRPr="00E5269E">
        <w:rPr>
          <w:bCs/>
          <w:szCs w:val="28"/>
          <w:lang w:val="uk-UA"/>
        </w:rPr>
        <w:t xml:space="preserve">, Новоушицької територіальної громади, </w:t>
      </w:r>
      <w:r w:rsidR="00E5269E" w:rsidRPr="00E5269E">
        <w:rPr>
          <w:bCs/>
          <w:szCs w:val="28"/>
          <w:lang w:val="uk-UA"/>
        </w:rPr>
        <w:lastRenderedPageBreak/>
        <w:t>Кам’янець-Подільського району, Хмельницької області.</w:t>
      </w:r>
    </w:p>
    <w:p w14:paraId="7D0CF99B" w14:textId="3F8371A4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</w:t>
      </w:r>
      <w:r w:rsidR="00CF2BBA">
        <w:rPr>
          <w:bCs/>
          <w:szCs w:val="28"/>
          <w:lang w:val="uk-UA"/>
        </w:rPr>
        <w:t xml:space="preserve">користування </w:t>
      </w:r>
      <w:r w:rsidR="00E5269E" w:rsidRPr="00E5269E">
        <w:rPr>
          <w:bCs/>
          <w:szCs w:val="28"/>
          <w:lang w:val="uk-UA"/>
        </w:rPr>
        <w:t>земельн</w:t>
      </w:r>
      <w:r w:rsidR="00CF2BBA">
        <w:rPr>
          <w:bCs/>
          <w:szCs w:val="28"/>
          <w:lang w:val="uk-UA"/>
        </w:rPr>
        <w:t>ими</w:t>
      </w:r>
      <w:r w:rsidR="00E5269E" w:rsidRPr="00E5269E">
        <w:rPr>
          <w:bCs/>
          <w:szCs w:val="28"/>
          <w:lang w:val="uk-UA"/>
        </w:rPr>
        <w:t xml:space="preserve"> ділянк</w:t>
      </w:r>
      <w:r w:rsidR="00CF2BBA">
        <w:rPr>
          <w:bCs/>
          <w:szCs w:val="28"/>
          <w:lang w:val="uk-UA"/>
        </w:rPr>
        <w:t>ами</w:t>
      </w:r>
      <w:r w:rsidR="00E5269E" w:rsidRPr="00E5269E">
        <w:rPr>
          <w:bCs/>
          <w:szCs w:val="28"/>
          <w:lang w:val="uk-UA"/>
        </w:rPr>
        <w:t xml:space="preserve">, що передаються в оренду ТОВ </w:t>
      </w:r>
      <w:r w:rsidR="007364EC" w:rsidRPr="007364EC">
        <w:rPr>
          <w:bCs/>
          <w:szCs w:val="28"/>
          <w:lang w:val="uk-UA"/>
        </w:rPr>
        <w:t>«</w:t>
      </w:r>
      <w:proofErr w:type="spellStart"/>
      <w:r w:rsidR="007364EC" w:rsidRPr="007364EC">
        <w:rPr>
          <w:bCs/>
          <w:szCs w:val="28"/>
          <w:lang w:val="uk-UA"/>
        </w:rPr>
        <w:t>БігРайз</w:t>
      </w:r>
      <w:proofErr w:type="spellEnd"/>
      <w:r w:rsidR="007364EC" w:rsidRPr="007364EC">
        <w:rPr>
          <w:bCs/>
          <w:szCs w:val="28"/>
          <w:lang w:val="uk-UA"/>
        </w:rPr>
        <w:t>-СВ»</w:t>
      </w:r>
      <w:r w:rsidR="00B647C2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у розмірі 12 % від їх нормативної грошової оцінки.</w:t>
      </w:r>
    </w:p>
    <w:p w14:paraId="75D09955" w14:textId="3BE63F2B" w:rsidR="00E5269E" w:rsidRPr="00E5269E" w:rsidRDefault="00FA4EC2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1.3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Селищному голові Анатолію ОЛІЙНИКУ від імені Новоушицької селищної ради укласти з ТОВ </w:t>
      </w:r>
      <w:r w:rsidR="007364EC" w:rsidRPr="007364EC">
        <w:rPr>
          <w:bCs/>
          <w:szCs w:val="28"/>
          <w:lang w:val="uk-UA"/>
        </w:rPr>
        <w:t>«</w:t>
      </w:r>
      <w:proofErr w:type="spellStart"/>
      <w:r w:rsidR="007364EC" w:rsidRPr="007364EC">
        <w:rPr>
          <w:bCs/>
          <w:szCs w:val="28"/>
          <w:lang w:val="uk-UA"/>
        </w:rPr>
        <w:t>БігРайз</w:t>
      </w:r>
      <w:proofErr w:type="spellEnd"/>
      <w:r w:rsidR="007364EC" w:rsidRPr="007364EC">
        <w:rPr>
          <w:bCs/>
          <w:szCs w:val="28"/>
          <w:lang w:val="uk-UA"/>
        </w:rPr>
        <w:t>-СВ»</w:t>
      </w:r>
      <w:r w:rsidR="00B647C2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>догов</w:t>
      </w:r>
      <w:r w:rsidR="007364EC">
        <w:rPr>
          <w:bCs/>
          <w:szCs w:val="28"/>
          <w:lang w:val="uk-UA"/>
        </w:rPr>
        <w:t>і</w:t>
      </w:r>
      <w:r w:rsidR="00E5269E" w:rsidRPr="00E5269E">
        <w:rPr>
          <w:bCs/>
          <w:szCs w:val="28"/>
          <w:lang w:val="uk-UA"/>
        </w:rPr>
        <w:t>р оренди земельних ділянок</w:t>
      </w:r>
      <w:r w:rsidR="00CF2BBA">
        <w:rPr>
          <w:bCs/>
          <w:szCs w:val="28"/>
          <w:lang w:val="uk-UA"/>
        </w:rPr>
        <w:t xml:space="preserve"> </w:t>
      </w:r>
      <w:r w:rsidR="00CF2BBA" w:rsidRPr="00CF2BBA">
        <w:rPr>
          <w:bCs/>
          <w:szCs w:val="28"/>
          <w:lang w:val="uk-UA"/>
        </w:rPr>
        <w:t>за переліком згідно Додатку</w:t>
      </w:r>
      <w:r w:rsidR="00E5269E" w:rsidRPr="00E5269E">
        <w:rPr>
          <w:bCs/>
          <w:szCs w:val="28"/>
          <w:lang w:val="uk-UA"/>
        </w:rPr>
        <w:t>.</w:t>
      </w:r>
    </w:p>
    <w:p w14:paraId="5E973828" w14:textId="506E1A7E" w:rsidR="00E5269E" w:rsidRDefault="00FA4EC2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1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4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Рекомендувати ТОВ </w:t>
      </w:r>
      <w:r w:rsidR="007364EC" w:rsidRPr="007364EC">
        <w:rPr>
          <w:bCs/>
          <w:szCs w:val="28"/>
          <w:lang w:val="uk-UA"/>
        </w:rPr>
        <w:t>«</w:t>
      </w:r>
      <w:proofErr w:type="spellStart"/>
      <w:r w:rsidR="007364EC" w:rsidRPr="007364EC">
        <w:rPr>
          <w:bCs/>
          <w:szCs w:val="28"/>
          <w:lang w:val="uk-UA"/>
        </w:rPr>
        <w:t>БігРайз</w:t>
      </w:r>
      <w:proofErr w:type="spellEnd"/>
      <w:r w:rsidR="007364EC" w:rsidRPr="007364EC">
        <w:rPr>
          <w:bCs/>
          <w:szCs w:val="28"/>
          <w:lang w:val="uk-UA"/>
        </w:rPr>
        <w:t>-СВ»</w:t>
      </w:r>
      <w:r w:rsidR="00B647C2">
        <w:rPr>
          <w:bCs/>
          <w:szCs w:val="28"/>
          <w:lang w:val="uk-UA"/>
        </w:rPr>
        <w:t xml:space="preserve">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права оренди земельних ділянок </w:t>
      </w:r>
      <w:r w:rsidR="00CF2BBA" w:rsidRPr="00CF2BBA">
        <w:rPr>
          <w:bCs/>
          <w:szCs w:val="28"/>
          <w:lang w:val="uk-UA"/>
        </w:rPr>
        <w:t>за переліком згідно Додатку</w:t>
      </w:r>
      <w:r w:rsidR="00CF2BBA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6A522E1F" w14:textId="097A0DBA" w:rsidR="00E5269E" w:rsidRPr="00E5269E" w:rsidRDefault="007364EC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2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3B341BF" w14:textId="61C7DDFC" w:rsid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4B9BEC14" w14:textId="77777777" w:rsidR="00B647C2" w:rsidRPr="00E5269E" w:rsidRDefault="00B647C2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21DE1379" w14:textId="77777777" w:rsidR="0000584C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EA701E">
        <w:rPr>
          <w:b/>
          <w:iCs/>
          <w:color w:val="000000"/>
          <w:szCs w:val="28"/>
          <w:lang w:val="uk-UA"/>
        </w:rPr>
        <w:t>Анатолій ОЛІЙНИК</w:t>
      </w:r>
    </w:p>
    <w:p w14:paraId="45D36C23" w14:textId="77777777" w:rsidR="00E81670" w:rsidRDefault="00E81670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959BDD7" w14:textId="5F9DDA7A" w:rsidR="00E81670" w:rsidRDefault="00E81670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E81670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E5269E" w:rsidRPr="00E81670" w14:paraId="65201180" w14:textId="77777777" w:rsidTr="00FE63AF">
        <w:trPr>
          <w:jc w:val="right"/>
        </w:trPr>
        <w:tc>
          <w:tcPr>
            <w:tcW w:w="4821" w:type="dxa"/>
            <w:shd w:val="clear" w:color="auto" w:fill="auto"/>
          </w:tcPr>
          <w:p w14:paraId="0BFC2748" w14:textId="5E0A2DA9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</w:p>
          <w:p w14:paraId="637BBAD6" w14:textId="5487915D" w:rsidR="00E5269E" w:rsidRPr="00E81670" w:rsidRDefault="00E5269E" w:rsidP="00E81670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1CBBA11A" w14:textId="04129602" w:rsidR="00E5269E" w:rsidRPr="00E81670" w:rsidRDefault="00E5269E" w:rsidP="00CF2BBA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CF2BBA">
              <w:rPr>
                <w:szCs w:val="28"/>
                <w:lang w:val="uk-UA"/>
              </w:rPr>
              <w:t>29</w:t>
            </w:r>
            <w:r w:rsidR="00A02BA9">
              <w:rPr>
                <w:szCs w:val="28"/>
                <w:lang w:val="uk-UA"/>
              </w:rPr>
              <w:t xml:space="preserve"> </w:t>
            </w:r>
            <w:r w:rsidR="00CF2BBA">
              <w:rPr>
                <w:szCs w:val="28"/>
                <w:lang w:val="uk-UA"/>
              </w:rPr>
              <w:t>лютого</w:t>
            </w:r>
            <w:r w:rsidRPr="00E81670">
              <w:rPr>
                <w:szCs w:val="28"/>
                <w:lang w:val="uk-UA"/>
              </w:rPr>
              <w:t xml:space="preserve"> 202</w:t>
            </w:r>
            <w:r w:rsidR="00CF2BBA">
              <w:rPr>
                <w:szCs w:val="28"/>
                <w:lang w:val="uk-UA"/>
              </w:rPr>
              <w:t>4</w:t>
            </w:r>
            <w:r w:rsidRPr="00E81670">
              <w:rPr>
                <w:szCs w:val="28"/>
                <w:lang w:val="uk-UA"/>
              </w:rPr>
              <w:t xml:space="preserve"> року № </w:t>
            </w:r>
            <w:r w:rsidR="00CF2BBA">
              <w:rPr>
                <w:szCs w:val="28"/>
                <w:lang w:val="uk-UA"/>
              </w:rPr>
              <w:t>__</w:t>
            </w:r>
          </w:p>
        </w:tc>
      </w:tr>
    </w:tbl>
    <w:p w14:paraId="1A4C380A" w14:textId="77777777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790E979E" w14:textId="091ED538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 w:rsidRPr="00E81670">
        <w:rPr>
          <w:b/>
          <w:bCs/>
          <w:szCs w:val="28"/>
          <w:lang w:val="uk-UA"/>
        </w:rPr>
        <w:t>ПЕРЕЛІК</w:t>
      </w:r>
      <w:r w:rsidRPr="00E81670">
        <w:rPr>
          <w:b/>
          <w:bCs/>
          <w:szCs w:val="28"/>
          <w:lang w:val="uk-UA"/>
        </w:rPr>
        <w:br/>
        <w:t xml:space="preserve">земельних ділянок, що передаються в оренду ТОВ </w:t>
      </w:r>
      <w:r w:rsidR="00CF2BBA" w:rsidRPr="00CF2BBA">
        <w:rPr>
          <w:b/>
          <w:bCs/>
          <w:szCs w:val="28"/>
          <w:lang w:val="uk-UA"/>
        </w:rPr>
        <w:t>«</w:t>
      </w:r>
      <w:proofErr w:type="spellStart"/>
      <w:r w:rsidR="00CF2BBA" w:rsidRPr="00CF2BBA">
        <w:rPr>
          <w:b/>
          <w:bCs/>
          <w:szCs w:val="28"/>
          <w:lang w:val="uk-UA"/>
        </w:rPr>
        <w:t>БігРайз</w:t>
      </w:r>
      <w:proofErr w:type="spellEnd"/>
      <w:r w:rsidR="00CF2BBA" w:rsidRPr="00CF2BBA">
        <w:rPr>
          <w:b/>
          <w:bCs/>
          <w:szCs w:val="28"/>
          <w:lang w:val="uk-UA"/>
        </w:rPr>
        <w:t>-СВ»</w:t>
      </w:r>
      <w:r w:rsidR="00B647C2">
        <w:rPr>
          <w:b/>
          <w:bCs/>
          <w:szCs w:val="28"/>
          <w:lang w:val="uk-UA"/>
        </w:rPr>
        <w:t xml:space="preserve"> </w:t>
      </w:r>
      <w:r w:rsidRPr="00E81670">
        <w:rPr>
          <w:b/>
          <w:bCs/>
          <w:szCs w:val="28"/>
          <w:lang w:val="uk-UA"/>
        </w:rPr>
        <w:t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за межами</w:t>
      </w:r>
      <w:r w:rsidR="00B647C2">
        <w:rPr>
          <w:b/>
          <w:bCs/>
          <w:szCs w:val="28"/>
          <w:lang w:val="uk-UA"/>
        </w:rPr>
        <w:t xml:space="preserve"> </w:t>
      </w:r>
      <w:r w:rsidR="00CF2BBA">
        <w:rPr>
          <w:b/>
          <w:bCs/>
          <w:szCs w:val="28"/>
          <w:lang w:val="uk-UA"/>
        </w:rPr>
        <w:t xml:space="preserve">с. </w:t>
      </w:r>
      <w:proofErr w:type="spellStart"/>
      <w:r w:rsidR="00CF2BBA">
        <w:rPr>
          <w:b/>
          <w:bCs/>
          <w:szCs w:val="28"/>
          <w:lang w:val="uk-UA"/>
        </w:rPr>
        <w:t>Куражин</w:t>
      </w:r>
      <w:proofErr w:type="spellEnd"/>
      <w:r w:rsidRPr="00E81670">
        <w:rPr>
          <w:b/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</w:p>
    <w:p w14:paraId="3FDB8D3F" w14:textId="77777777" w:rsidR="00E5269E" w:rsidRPr="00E81670" w:rsidRDefault="00E5269E" w:rsidP="00E81670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704"/>
        <w:gridCol w:w="1018"/>
        <w:gridCol w:w="7269"/>
        <w:gridCol w:w="3199"/>
      </w:tblGrid>
      <w:tr w:rsidR="00E5269E" w:rsidRPr="00CF2BBA" w14:paraId="0EAF4BC5" w14:textId="77777777" w:rsidTr="00CF2BBA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4C685AC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04" w:type="dxa"/>
            <w:tcMar>
              <w:left w:w="28" w:type="dxa"/>
              <w:right w:w="28" w:type="dxa"/>
            </w:tcMar>
            <w:vAlign w:val="center"/>
          </w:tcPr>
          <w:p w14:paraId="2F0304E2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21DF0D13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05054382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5FB8F25" w14:textId="77777777" w:rsidR="00E5269E" w:rsidRPr="00C62CFF" w:rsidRDefault="00E5269E" w:rsidP="00E81670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CF2BBA" w:rsidRPr="00E5269E" w14:paraId="0C246DE4" w14:textId="77777777" w:rsidTr="00021ABE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5FA896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776F1AB" w14:textId="6EDA1E6C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6823384500:05:001:0096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14:paraId="1921E34C" w14:textId="580B1256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0,1921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44199A99" w14:textId="77777777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54CBE12" w14:textId="2EBA7917" w:rsidR="00CF2BBA" w:rsidRPr="00C62CFF" w:rsidRDefault="00CF2BBA" w:rsidP="00CF2BBA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4CD838E7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C9883E4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208A748" w14:textId="395366E3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6823384500:05:001:0095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1064CE7" w14:textId="021F0F09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0,4169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9C0E1EE" w14:textId="2AB40C0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7A84127" w14:textId="7D5EFBB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3C44F1E0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1E0BD78D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75909B3" w14:textId="20604C8D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6823384500:05:001:0094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3DD5EAD3" w14:textId="4E67B539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0,5144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529E6F7A" w14:textId="3642FE74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3277875" w14:textId="638B93CA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5862962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C00024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7635652" w14:textId="366D147F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8F37867" w14:textId="4CFD98CD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0,2037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5F5F07D8" w14:textId="00E2D3C6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5BBCD00B" w14:textId="420F6386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2AC813F7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6EE8A5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783D06AF" w14:textId="61F74995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6823384500:05:002:0218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8366FCB" w14:textId="08B610AA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0,2244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B6BA147" w14:textId="5AEF7F77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B16F52A" w14:textId="724BDD54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5B54B41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58B2BE0D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C31D1F6" w14:textId="2729D26D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E50B104" w14:textId="55646173" w:rsidR="00CF2BBA" w:rsidRPr="00CF2BBA" w:rsidRDefault="00CF2BBA" w:rsidP="00E81670">
            <w:pPr>
              <w:jc w:val="center"/>
              <w:rPr>
                <w:color w:val="000000"/>
                <w:sz w:val="24"/>
                <w:lang w:val="uk-UA"/>
              </w:rPr>
            </w:pPr>
            <w:r w:rsidRPr="00CF2BBA">
              <w:rPr>
                <w:color w:val="000000"/>
                <w:sz w:val="24"/>
              </w:rPr>
              <w:t>0,5732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78A3E0CF" w14:textId="03B48679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41F456DE" w14:textId="607D3E17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0D969C93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B536C2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A67FACA" w14:textId="13C8DAF2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6823384500:05:002:0216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20CF830" w14:textId="71D9D1DD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0,5387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269A3D5A" w14:textId="5A8594E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06307F77" w14:textId="5B5740CD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54A197F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DB63DB9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136AABCA" w14:textId="394B8675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6823384500:06:001:0267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E4D2617" w14:textId="7195FAF8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0,4584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70BB4C05" w14:textId="3D1EF44E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5C604BD5" w14:textId="56E38FF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DAEE67F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CD9CC52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A8029F9" w14:textId="2D6E8E39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1D71A89" w14:textId="5D341D88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0,3583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1421D4E3" w14:textId="7958D81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70F0B724" w14:textId="7C27870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68D3522E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4598BA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A501654" w14:textId="59D31082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6823384500:06:001:0265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1D759459" w14:textId="2E839EF7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0,2266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42C8C92A" w14:textId="15676E2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2BDA17E4" w14:textId="6BE19C8A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B427AF4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13723425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1F473547" w14:textId="0B7DF427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09D3A35D" w14:textId="75DFEBA6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0,2364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172ECD9A" w14:textId="08C293A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799243DD" w14:textId="1C659EFE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2A4C6C39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A42B418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6C03F5F3" w14:textId="42CE649E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EFF6795" w14:textId="4723EA8F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0,6081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5735A627" w14:textId="4D7D203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40341D14" w14:textId="3A460D8D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7348F415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40F6E1B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A3EBF3D" w14:textId="558FEA73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343B6E1D" w14:textId="0442A35B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0,2024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66FC180A" w14:textId="4402863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703318BD" w14:textId="2B291F22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1EDE316D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DFF7305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BEC58DD" w14:textId="705E2C28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6823384500:06:001:0261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519EC26" w14:textId="06D45347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0,3656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7E857426" w14:textId="7D32743B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60C5C9DE" w14:textId="79EDF343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4761037D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25618C2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2A49971F" w14:textId="554A05F9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6823384500:08:001:0192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4373E86" w14:textId="750A8824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0,4030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66698B6" w14:textId="48EEC5FF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18FD4587" w14:textId="14E63FD9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5984C42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31E574E7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4AC289EC" w14:textId="4944E2C9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6823384500:08:001:0193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243211EE" w14:textId="4C9F954A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0,1887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2FE6A038" w14:textId="19769A2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D9D4622" w14:textId="1773D3A0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1812EF73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77C193F1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585582E1" w14:textId="5B7DA89A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6823384500:08:001:0194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638AD52B" w14:textId="257FDB1D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0,3465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6020ADE2" w14:textId="2B459034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60BB9A15" w14:textId="42219206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B948A4D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205D8CC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55AC754" w14:textId="3E47FB01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6823384500:08:001:0196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69DA45A" w14:textId="36F84725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0,3366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18B70270" w14:textId="422032F5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FE55256" w14:textId="1C86D56E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5D5BE0E6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617A8FF0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35F0C8D3" w14:textId="2B0E41AB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6823384500:08:001:0199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715509EF" w14:textId="19B4B09E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0,2139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666B1A5F" w14:textId="558C047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35DF94CA" w14:textId="294262A8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  <w:tr w:rsidR="00CF2BBA" w:rsidRPr="00E5269E" w14:paraId="602D9987" w14:textId="77777777" w:rsidTr="00410D01">
        <w:trPr>
          <w:trHeight w:val="20"/>
          <w:jc w:val="center"/>
        </w:trPr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14:paraId="0384526A" w14:textId="77777777" w:rsidR="00CF2BBA" w:rsidRPr="00C62CFF" w:rsidRDefault="00CF2BBA" w:rsidP="00E81670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14:paraId="065A5ECA" w14:textId="0177EB3C" w:rsidR="00CF2BBA" w:rsidRPr="00CF2BBA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F2BBA">
              <w:rPr>
                <w:sz w:val="24"/>
              </w:rPr>
              <w:t>6823384500:08:001:0200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14:paraId="53F31A49" w14:textId="423FB560" w:rsidR="00CF2BBA" w:rsidRPr="00CF2BBA" w:rsidRDefault="00CF2BBA" w:rsidP="00E81670">
            <w:pPr>
              <w:jc w:val="center"/>
              <w:rPr>
                <w:color w:val="000000"/>
                <w:sz w:val="24"/>
              </w:rPr>
            </w:pPr>
            <w:r w:rsidRPr="00CF2BBA">
              <w:rPr>
                <w:color w:val="000000"/>
                <w:sz w:val="24"/>
              </w:rPr>
              <w:t>0,6674</w:t>
            </w:r>
          </w:p>
        </w:tc>
        <w:tc>
          <w:tcPr>
            <w:tcW w:w="7269" w:type="dxa"/>
            <w:tcMar>
              <w:left w:w="28" w:type="dxa"/>
              <w:right w:w="28" w:type="dxa"/>
            </w:tcMar>
            <w:vAlign w:val="center"/>
          </w:tcPr>
          <w:p w14:paraId="3044577C" w14:textId="0E5EFE2C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14:paraId="48DCF847" w14:textId="226C9BE9" w:rsidR="00CF2BBA" w:rsidRPr="00C62CFF" w:rsidRDefault="00CF2BBA" w:rsidP="00E8167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Куражин</w:t>
            </w:r>
          </w:p>
        </w:tc>
      </w:tr>
    </w:tbl>
    <w:p w14:paraId="6582512A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370A368" w14:textId="77777777" w:rsidR="00E5269E" w:rsidRPr="00E5269E" w:rsidRDefault="00E5269E" w:rsidP="00E81670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D2A4BCA" w14:textId="0FE99130" w:rsidR="004204A2" w:rsidRDefault="00E5269E" w:rsidP="00E81670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</w:r>
      <w:r w:rsidR="00E81670">
        <w:rPr>
          <w:b/>
          <w:bCs/>
          <w:szCs w:val="28"/>
          <w:lang w:val="uk-UA"/>
        </w:rPr>
        <w:t xml:space="preserve"> </w:t>
      </w:r>
      <w:r w:rsidRPr="00E5269E">
        <w:rPr>
          <w:b/>
          <w:bCs/>
          <w:szCs w:val="28"/>
          <w:lang w:val="uk-UA"/>
        </w:rPr>
        <w:t>Віктор КОСТЮЧЕНКО</w:t>
      </w:r>
    </w:p>
    <w:sectPr w:rsidR="004204A2" w:rsidSect="0000584C">
      <w:headerReference w:type="first" r:id="rId10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D6A9" w14:textId="77777777" w:rsidR="008658D4" w:rsidRDefault="008658D4" w:rsidP="00E31EA9">
      <w:r>
        <w:separator/>
      </w:r>
    </w:p>
  </w:endnote>
  <w:endnote w:type="continuationSeparator" w:id="0">
    <w:p w14:paraId="169C699D" w14:textId="77777777" w:rsidR="008658D4" w:rsidRDefault="008658D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F6AE" w14:textId="77777777" w:rsidR="008658D4" w:rsidRDefault="008658D4" w:rsidP="00E31EA9">
      <w:r>
        <w:separator/>
      </w:r>
    </w:p>
  </w:footnote>
  <w:footnote w:type="continuationSeparator" w:id="0">
    <w:p w14:paraId="0ACA4F3A" w14:textId="77777777" w:rsidR="008658D4" w:rsidRDefault="008658D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76E" w14:textId="486FAA4B" w:rsidR="001D17DD" w:rsidRDefault="001D17DD" w:rsidP="00A76664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474F7ABF" wp14:editId="3E6B71FA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C62CFF" w:rsidRPr="00C62CFF" w:rsidRDefault="00C62CFF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C62CFF" w:rsidRPr="00C62CFF" w:rsidRDefault="00C62CFF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167343E2" w:rsidR="00C62CFF" w:rsidRPr="00C62CFF" w:rsidRDefault="00C62CFF" w:rsidP="00C62CFF">
    <w:pPr>
      <w:suppressAutoHyphens w:val="0"/>
      <w:autoSpaceDE w:val="0"/>
      <w:jc w:val="center"/>
      <w:rPr>
        <w:bCs/>
        <w:lang w:val="uk-UA"/>
      </w:rPr>
    </w:pPr>
    <w:r w:rsidRPr="00C62CFF">
      <w:rPr>
        <w:b/>
        <w:szCs w:val="28"/>
        <w:lang w:val="en-US"/>
      </w:rPr>
      <w:t>LVII</w:t>
    </w:r>
    <w:r w:rsidRPr="00C62CFF">
      <w:rPr>
        <w:b/>
        <w:szCs w:val="28"/>
        <w:lang w:val="uk-UA"/>
      </w:rPr>
      <w:t xml:space="preserve"> сесі</w:t>
    </w:r>
    <w:r w:rsidRPr="00C62CFF">
      <w:rPr>
        <w:b/>
        <w:bCs/>
        <w:szCs w:val="28"/>
        <w:lang w:val="uk-UA"/>
      </w:rPr>
      <w:t>я</w:t>
    </w:r>
  </w:p>
  <w:p w14:paraId="5EAF259B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C62CFF" w:rsidRPr="00C62CFF" w:rsidRDefault="00C62CFF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C62CFF" w:rsidRPr="00C62CFF" w14:paraId="2F3F9048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5EFFEE45" w:rsidR="00C62CFF" w:rsidRPr="00A02BA9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80D258D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1B64BD9C" w:rsidR="00C62CFF" w:rsidRPr="00C62CFF" w:rsidRDefault="00C62CFF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1BACF86" w14:textId="77777777" w:rsidR="001D17DD" w:rsidRPr="000B484C" w:rsidRDefault="001D17DD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1D17DD" w:rsidRPr="0000584C" w:rsidRDefault="001D17DD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3954"/>
    <w:rsid w:val="00502D85"/>
    <w:rsid w:val="005162C3"/>
    <w:rsid w:val="00517E0B"/>
    <w:rsid w:val="00534EE3"/>
    <w:rsid w:val="00572524"/>
    <w:rsid w:val="00574472"/>
    <w:rsid w:val="005A4A7C"/>
    <w:rsid w:val="005B3A77"/>
    <w:rsid w:val="005B6C06"/>
    <w:rsid w:val="005D4BB1"/>
    <w:rsid w:val="005E3972"/>
    <w:rsid w:val="0060215A"/>
    <w:rsid w:val="00605E2B"/>
    <w:rsid w:val="006144E1"/>
    <w:rsid w:val="00617EF2"/>
    <w:rsid w:val="00620ADD"/>
    <w:rsid w:val="00637559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210B5"/>
    <w:rsid w:val="007364EC"/>
    <w:rsid w:val="00747EA6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58D4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4536A"/>
    <w:rsid w:val="009573B9"/>
    <w:rsid w:val="009643FA"/>
    <w:rsid w:val="0096615B"/>
    <w:rsid w:val="00976DBD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91A49"/>
    <w:rsid w:val="00AA06DB"/>
    <w:rsid w:val="00AA43E1"/>
    <w:rsid w:val="00AE68C0"/>
    <w:rsid w:val="00AF6CC2"/>
    <w:rsid w:val="00B0287A"/>
    <w:rsid w:val="00B318B3"/>
    <w:rsid w:val="00B40EB7"/>
    <w:rsid w:val="00B606B1"/>
    <w:rsid w:val="00B647C2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2BBA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DE33A4"/>
    <w:rsid w:val="00E200BB"/>
    <w:rsid w:val="00E2660E"/>
    <w:rsid w:val="00E30721"/>
    <w:rsid w:val="00E31EA9"/>
    <w:rsid w:val="00E321BD"/>
    <w:rsid w:val="00E4721F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F11B6F"/>
    <w:rsid w:val="00F12915"/>
    <w:rsid w:val="00F2065C"/>
    <w:rsid w:val="00F4792E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82D11F43-1013-4FC8-8654-88E7695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E866-02A1-4A66-9287-7603BA9D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8</cp:revision>
  <cp:lastPrinted>2021-05-26T05:47:00Z</cp:lastPrinted>
  <dcterms:created xsi:type="dcterms:W3CDTF">2023-07-11T13:17:00Z</dcterms:created>
  <dcterms:modified xsi:type="dcterms:W3CDTF">2024-02-16T08:15:00Z</dcterms:modified>
</cp:coreProperties>
</file>