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F21" w:rsidRPr="00795CB7" w:rsidRDefault="00D51F21" w:rsidP="00795CB7">
      <w:pPr>
        <w:spacing w:after="0" w:line="240" w:lineRule="auto"/>
        <w:ind w:left="4820"/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</w:pPr>
      <w:bookmarkStart w:id="0" w:name="_GoBack"/>
      <w:bookmarkEnd w:id="0"/>
      <w:r w:rsidRPr="00795CB7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>ЗАТВЕРДЖЕНО</w:t>
      </w:r>
    </w:p>
    <w:p w:rsidR="00D51F21" w:rsidRPr="00795CB7" w:rsidRDefault="00D51F21" w:rsidP="00795CB7">
      <w:pPr>
        <w:spacing w:after="0" w:line="240" w:lineRule="auto"/>
        <w:ind w:left="4820"/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</w:pPr>
      <w:r w:rsidRPr="00795CB7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>Наказ головного управління Пенсійного фонду України в Хмельницькій області</w:t>
      </w:r>
    </w:p>
    <w:p w:rsidR="00D51F21" w:rsidRPr="008B20ED" w:rsidRDefault="00D51F21" w:rsidP="00795CB7">
      <w:pPr>
        <w:pStyle w:val="14"/>
        <w:ind w:left="4473" w:firstLine="347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 w:rsidRPr="008B20ED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__________________ </w:t>
      </w:r>
      <w:r w:rsidR="00100ECF" w:rsidRPr="008B20ED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B20ED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№ _</w:t>
      </w:r>
      <w:r w:rsidR="00100ECF" w:rsidRPr="008B20ED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__</w:t>
      </w:r>
      <w:r w:rsidRPr="008B20ED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_</w:t>
      </w:r>
    </w:p>
    <w:p w:rsidR="00D51F21" w:rsidRPr="008B20ED" w:rsidRDefault="00D51F21" w:rsidP="00795CB7">
      <w:pPr>
        <w:pStyle w:val="1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</w:p>
    <w:p w:rsidR="00EC0EBB" w:rsidRPr="008B20ED" w:rsidRDefault="00EC0EBB" w:rsidP="00D51F21">
      <w:pPr>
        <w:pStyle w:val="1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</w:p>
    <w:p w:rsidR="00D51F21" w:rsidRPr="008B20ED" w:rsidRDefault="003542A7" w:rsidP="00C356D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0ED">
        <w:rPr>
          <w:rFonts w:ascii="Times New Roman" w:hAnsi="Times New Roman" w:cs="Times New Roman"/>
          <w:b/>
          <w:bCs/>
          <w:sz w:val="24"/>
          <w:szCs w:val="24"/>
        </w:rPr>
        <w:t>ТЕХНОЛОГІЧНА КАРТКА</w:t>
      </w:r>
      <w:r w:rsidR="00D51F21" w:rsidRPr="008B2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44D4" w:rsidRDefault="00E2359F" w:rsidP="00BE44D4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B20E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</w:t>
      </w:r>
      <w:r w:rsidR="00D51F21" w:rsidRPr="008B20E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ослуг</w:t>
      </w:r>
      <w:r w:rsidR="00ED50D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и </w:t>
      </w:r>
      <w:r w:rsidR="00BE44D4" w:rsidRPr="00BE44D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 внесення д</w:t>
      </w:r>
      <w:r w:rsidR="00BE44D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 Реєстру осіб, які мають право </w:t>
      </w:r>
      <w:r w:rsidR="00BE44D4" w:rsidRPr="00BE44D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 пільги, відомостей про пільгови</w:t>
      </w:r>
      <w:r w:rsidR="00BE44D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ка, про членів сім’ї чи опікуна пільговика, на </w:t>
      </w:r>
      <w:r w:rsidR="00BE44D4" w:rsidRPr="00BE44D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яких поширюється пільга</w:t>
      </w:r>
    </w:p>
    <w:p w:rsidR="002E0220" w:rsidRPr="00F85F2B" w:rsidRDefault="00D51F21" w:rsidP="00BE44D4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B20E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Головне управління Пенсійного фонду України в Хмельницькій області</w:t>
      </w:r>
    </w:p>
    <w:p w:rsidR="00EC0EBB" w:rsidRPr="008B20ED" w:rsidRDefault="00EC0EBB" w:rsidP="00C356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929"/>
        <w:gridCol w:w="2835"/>
        <w:gridCol w:w="2409"/>
      </w:tblGrid>
      <w:tr w:rsidR="008B20ED" w:rsidRPr="008B20ED" w:rsidTr="002E0220">
        <w:trPr>
          <w:trHeight w:val="1815"/>
        </w:trPr>
        <w:tc>
          <w:tcPr>
            <w:tcW w:w="450" w:type="dxa"/>
            <w:shd w:val="clear" w:color="auto" w:fill="auto"/>
            <w:vAlign w:val="center"/>
          </w:tcPr>
          <w:p w:rsidR="002E0220" w:rsidRPr="008B20ED" w:rsidRDefault="002E0220" w:rsidP="00EB300B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0220" w:rsidRPr="008B20ED" w:rsidRDefault="002E0220" w:rsidP="00EB300B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Етапи опрацювання звернення про надання послуги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суб'єкта надання послуги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виконання,</w:t>
            </w:r>
          </w:p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(днів)</w:t>
            </w:r>
          </w:p>
        </w:tc>
      </w:tr>
      <w:tr w:rsidR="008B20ED" w:rsidRPr="008B20ED" w:rsidTr="002E0220">
        <w:trPr>
          <w:trHeight w:val="325"/>
        </w:trPr>
        <w:tc>
          <w:tcPr>
            <w:tcW w:w="450" w:type="dxa"/>
            <w:shd w:val="clear" w:color="auto" w:fill="auto"/>
            <w:vAlign w:val="center"/>
          </w:tcPr>
          <w:p w:rsidR="002E0220" w:rsidRPr="008B20ED" w:rsidRDefault="002E0220" w:rsidP="00EB300B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0220" w:rsidRPr="008B20ED" w:rsidRDefault="005A309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B20ED" w:rsidRPr="008B20ED" w:rsidTr="00620BB3">
        <w:trPr>
          <w:trHeight w:val="952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620BB3" w:rsidRPr="008B20ED" w:rsidRDefault="00620BB3" w:rsidP="00EB300B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Ідентифікація особи (його представника), реєстрація заяви, приймання та сканування документів для </w:t>
            </w:r>
            <w:r w:rsidR="000E62FD" w:rsidRPr="000E62FD">
              <w:rPr>
                <w:rFonts w:ascii="Times New Roman" w:hAnsi="Times New Roman" w:cs="Times New Roman"/>
                <w:sz w:val="24"/>
                <w:szCs w:val="24"/>
              </w:rPr>
              <w:t>внесення до Реєстру осіб, які мають право на пільги, відомостей про пільговика, про членів сім’ї чи опікуна пільговика, на яких поширюється пільга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Спеціаліст сервісного центру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8B20ED" w:rsidRPr="008B20ED" w:rsidTr="002E0220">
        <w:trPr>
          <w:trHeight w:val="952"/>
        </w:trPr>
        <w:tc>
          <w:tcPr>
            <w:tcW w:w="450" w:type="dxa"/>
            <w:vMerge/>
            <w:shd w:val="clear" w:color="auto" w:fill="auto"/>
            <w:vAlign w:val="center"/>
          </w:tcPr>
          <w:p w:rsidR="00620BB3" w:rsidRPr="008B20ED" w:rsidRDefault="00620BB3" w:rsidP="00EB300B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Посадова особа центру надання адміністративних послуг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0ED" w:rsidRPr="008B20ED" w:rsidTr="002E0220">
        <w:trPr>
          <w:trHeight w:val="952"/>
        </w:trPr>
        <w:tc>
          <w:tcPr>
            <w:tcW w:w="450" w:type="dxa"/>
            <w:vMerge/>
            <w:shd w:val="clear" w:color="auto" w:fill="auto"/>
            <w:vAlign w:val="center"/>
          </w:tcPr>
          <w:p w:rsidR="00620BB3" w:rsidRPr="008B20ED" w:rsidRDefault="00620BB3" w:rsidP="00EB300B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Уповноважена посадова особа виконавчого органу сільської, селищної, міської ради відповідної територіальної громади або військової адміністрації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0ED" w:rsidRPr="008B20ED" w:rsidTr="006809B4">
        <w:trPr>
          <w:trHeight w:val="636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6809B4" w:rsidRPr="008B20ED" w:rsidRDefault="006809B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:rsidR="006809B4" w:rsidRPr="008B20ED" w:rsidRDefault="006809B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Передача прийнятих документів уповноваженому органу через програмне забезпечення «Соціальна громада»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09B4" w:rsidRPr="008B20ED" w:rsidRDefault="006809B4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Посадова особа центру надання адміністративних послуг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809B4" w:rsidRPr="008B20ED" w:rsidRDefault="00237991" w:rsidP="00EB30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91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8B20ED" w:rsidRPr="008B20ED" w:rsidTr="002E0220">
        <w:trPr>
          <w:trHeight w:val="636"/>
        </w:trPr>
        <w:tc>
          <w:tcPr>
            <w:tcW w:w="450" w:type="dxa"/>
            <w:vMerge/>
            <w:shd w:val="clear" w:color="auto" w:fill="auto"/>
            <w:vAlign w:val="center"/>
          </w:tcPr>
          <w:p w:rsidR="006809B4" w:rsidRPr="008B20ED" w:rsidRDefault="006809B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:rsidR="006809B4" w:rsidRPr="008B20ED" w:rsidRDefault="006809B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09B4" w:rsidRPr="008B20ED" w:rsidRDefault="006809B4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Уповноважена посадова особа виконавчого органу сільської, селищної, міської ради відповідної територіальної громади або військової адміністрації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809B4" w:rsidRPr="008B20ED" w:rsidRDefault="006809B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0ED" w:rsidRPr="008B20ED" w:rsidTr="006809B4">
        <w:trPr>
          <w:trHeight w:val="792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6809B4" w:rsidRPr="008B20ED" w:rsidRDefault="006809B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:rsidR="006809B4" w:rsidRPr="008B20ED" w:rsidRDefault="006809B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Передача уповноваженому органу заяви з необхідними документами та/або відомостями у паперовій формі (після формування електронної справи)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09B4" w:rsidRPr="008B20ED" w:rsidRDefault="006809B4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Посадова особа центру надання адміністративних послуг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809B4" w:rsidRPr="008B20ED" w:rsidRDefault="004F2C57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Не рідше одного разу на два тижні</w:t>
            </w:r>
          </w:p>
        </w:tc>
      </w:tr>
      <w:tr w:rsidR="008B20ED" w:rsidRPr="008B20ED" w:rsidTr="002E0220">
        <w:trPr>
          <w:trHeight w:val="792"/>
        </w:trPr>
        <w:tc>
          <w:tcPr>
            <w:tcW w:w="450" w:type="dxa"/>
            <w:vMerge/>
            <w:shd w:val="clear" w:color="auto" w:fill="auto"/>
            <w:vAlign w:val="center"/>
          </w:tcPr>
          <w:p w:rsidR="006809B4" w:rsidRPr="008B20ED" w:rsidRDefault="006809B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:rsidR="006809B4" w:rsidRPr="008B20ED" w:rsidRDefault="006809B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09B4" w:rsidRPr="008B20ED" w:rsidRDefault="006809B4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 xml:space="preserve">Уповноважена посадова особа виконавчого органу сільської, селищної, </w:t>
            </w:r>
            <w:r w:rsidRPr="008B2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міської ради відповідної територіальної громади або військової адміністрації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809B4" w:rsidRPr="008B20ED" w:rsidRDefault="006809B4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0ED" w:rsidRPr="008B20ED" w:rsidTr="002E022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9B4" w:rsidRPr="008B20ED" w:rsidRDefault="006809B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9B4" w:rsidRPr="008B20ED" w:rsidRDefault="006809B4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Перевірка правильності та повноти заповнення картки звернення в підсистемі «Звернення» та відповідності викладених в ній відомостей наданим документам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9B4" w:rsidRPr="008B20ED" w:rsidRDefault="006809B4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Спеціаліст сервісного центру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9B4" w:rsidRPr="008B20ED" w:rsidRDefault="0094271F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1F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8B20ED" w:rsidRPr="008B20ED" w:rsidTr="002E022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1A" w:rsidRPr="008B20ED" w:rsidRDefault="00237991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1A" w:rsidRPr="008B20ED" w:rsidRDefault="008E391A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В разі підтвердження правильності та повноти заповнення картки звернення в підсистемі «Звернення» та відповідності викладених в ній відомостей наданим документам, передача заяви та документів для подальшого опрацювання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1A" w:rsidRPr="008B20ED" w:rsidRDefault="008E391A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Спеціаліст сервісного центру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1A" w:rsidRPr="008B20ED" w:rsidRDefault="0094271F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1F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8B20ED" w:rsidRPr="008B20ED" w:rsidTr="002E022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36" w:rsidRPr="008B20ED" w:rsidRDefault="004F2C57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36" w:rsidRPr="008B20ED" w:rsidRDefault="0094271F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Внесення/невнесення даних до реєстру осіб , які мають право на пільги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36" w:rsidRPr="008B20ED" w:rsidRDefault="00A11536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Спеціаліст 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36" w:rsidRPr="008B20ED" w:rsidRDefault="0094271F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1F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F03109" w:rsidRPr="008B20ED" w:rsidTr="00441D14">
        <w:trPr>
          <w:trHeight w:val="9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8B20ED" w:rsidRDefault="00F03109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8B20ED" w:rsidRDefault="00F03109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72">
              <w:rPr>
                <w:rFonts w:ascii="Times New Roman" w:hAnsi="Times New Roman" w:cs="Times New Roman"/>
                <w:sz w:val="24"/>
                <w:szCs w:val="24"/>
              </w:rPr>
              <w:t>В разі прийняття рішення про призначення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відмову</w:t>
            </w: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 xml:space="preserve"> в наданні пільг на оплату житлово-комунальних послуг, інформування заявника про прийняте рішення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8B20ED" w:rsidRDefault="00F03109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Спеціаліст сервісного центру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8B20ED" w:rsidRDefault="0094271F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Особисто під час звернення </w:t>
            </w:r>
          </w:p>
        </w:tc>
      </w:tr>
    </w:tbl>
    <w:p w:rsidR="003542A7" w:rsidRPr="008B20ED" w:rsidRDefault="003542A7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B1" w:rsidRPr="008B20ED" w:rsidRDefault="004512B1" w:rsidP="0094271F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3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0ED">
        <w:rPr>
          <w:rFonts w:ascii="Times New Roman" w:hAnsi="Times New Roman" w:cs="Times New Roman"/>
          <w:bCs/>
          <w:sz w:val="24"/>
          <w:szCs w:val="24"/>
        </w:rPr>
        <w:t>Загальна кількість днів надання послуги –</w:t>
      </w:r>
      <w:r w:rsidR="00ED50DE">
        <w:rPr>
          <w:rFonts w:ascii="Times New Roman" w:hAnsi="Times New Roman" w:cs="Times New Roman"/>
          <w:bCs/>
          <w:sz w:val="24"/>
          <w:szCs w:val="24"/>
        </w:rPr>
        <w:t xml:space="preserve"> протягом</w:t>
      </w:r>
      <w:r w:rsidR="0094271F">
        <w:rPr>
          <w:rFonts w:ascii="Times New Roman" w:hAnsi="Times New Roman" w:cs="Times New Roman"/>
          <w:bCs/>
          <w:sz w:val="24"/>
          <w:szCs w:val="24"/>
        </w:rPr>
        <w:t xml:space="preserve"> робочого дня.</w:t>
      </w:r>
    </w:p>
    <w:p w:rsidR="004512B1" w:rsidRPr="008B20ED" w:rsidRDefault="004512B1" w:rsidP="004512B1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0ED">
        <w:rPr>
          <w:rFonts w:ascii="Times New Roman" w:hAnsi="Times New Roman" w:cs="Times New Roman"/>
          <w:bCs/>
          <w:sz w:val="24"/>
          <w:szCs w:val="24"/>
        </w:rPr>
        <w:tab/>
        <w:t>Результат надання послуги може бути оскаржений до Пенсійного фонду України та/або до суду в порядку, встановленому законом.</w:t>
      </w:r>
    </w:p>
    <w:p w:rsidR="004512B1" w:rsidRPr="008B20ED" w:rsidRDefault="004512B1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B1" w:rsidRPr="008B20ED" w:rsidRDefault="004512B1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7BC5" w:rsidRPr="008B20ED" w:rsidRDefault="003542A7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0ED">
        <w:rPr>
          <w:rFonts w:ascii="Times New Roman" w:hAnsi="Times New Roman" w:cs="Times New Roman"/>
          <w:b/>
          <w:bCs/>
          <w:sz w:val="24"/>
          <w:szCs w:val="24"/>
        </w:rPr>
        <w:t>Начальник управління</w:t>
      </w:r>
    </w:p>
    <w:p w:rsidR="003542A7" w:rsidRPr="008B20ED" w:rsidRDefault="003542A7" w:rsidP="00C356D1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0ED">
        <w:rPr>
          <w:rFonts w:ascii="Times New Roman" w:hAnsi="Times New Roman" w:cs="Times New Roman"/>
          <w:b/>
          <w:bCs/>
          <w:sz w:val="24"/>
          <w:szCs w:val="24"/>
        </w:rPr>
        <w:t>обслуговування громадян</w:t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1F21" w:rsidRPr="008B20ED">
        <w:rPr>
          <w:rFonts w:ascii="Times New Roman" w:hAnsi="Times New Roman" w:cs="Times New Roman"/>
          <w:b/>
          <w:bCs/>
          <w:sz w:val="24"/>
          <w:szCs w:val="24"/>
        </w:rPr>
        <w:t>Наталія ДУБЧАК</w:t>
      </w:r>
    </w:p>
    <w:sectPr w:rsidR="003542A7" w:rsidRPr="008B20ED" w:rsidSect="008B20ED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20" w:rsidRDefault="003C2720" w:rsidP="008B20ED">
      <w:pPr>
        <w:spacing w:after="0" w:line="240" w:lineRule="auto"/>
      </w:pPr>
      <w:r>
        <w:separator/>
      </w:r>
    </w:p>
  </w:endnote>
  <w:endnote w:type="continuationSeparator" w:id="0">
    <w:p w:rsidR="003C2720" w:rsidRDefault="003C2720" w:rsidP="008B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20" w:rsidRDefault="003C2720" w:rsidP="008B20ED">
      <w:pPr>
        <w:spacing w:after="0" w:line="240" w:lineRule="auto"/>
      </w:pPr>
      <w:r>
        <w:separator/>
      </w:r>
    </w:p>
  </w:footnote>
  <w:footnote w:type="continuationSeparator" w:id="0">
    <w:p w:rsidR="003C2720" w:rsidRDefault="003C2720" w:rsidP="008B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4327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20ED" w:rsidRPr="008B20ED" w:rsidRDefault="008B20ED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20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20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20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785F" w:rsidRPr="0066785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8B20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20ED" w:rsidRDefault="008B20E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1"/>
    <w:rsid w:val="00001C37"/>
    <w:rsid w:val="00023977"/>
    <w:rsid w:val="000E62FD"/>
    <w:rsid w:val="000F2FD8"/>
    <w:rsid w:val="00100ECF"/>
    <w:rsid w:val="00237991"/>
    <w:rsid w:val="002C60EE"/>
    <w:rsid w:val="002E0220"/>
    <w:rsid w:val="003542A7"/>
    <w:rsid w:val="003C2720"/>
    <w:rsid w:val="004512B1"/>
    <w:rsid w:val="004C77E5"/>
    <w:rsid w:val="004F127D"/>
    <w:rsid w:val="004F2C57"/>
    <w:rsid w:val="005A3090"/>
    <w:rsid w:val="00620BB3"/>
    <w:rsid w:val="0066785F"/>
    <w:rsid w:val="006809B4"/>
    <w:rsid w:val="00721DA1"/>
    <w:rsid w:val="00795CB7"/>
    <w:rsid w:val="007D162F"/>
    <w:rsid w:val="00871826"/>
    <w:rsid w:val="008B20ED"/>
    <w:rsid w:val="008D6856"/>
    <w:rsid w:val="008E391A"/>
    <w:rsid w:val="008E3B86"/>
    <w:rsid w:val="0094271F"/>
    <w:rsid w:val="00963F3E"/>
    <w:rsid w:val="009F6E66"/>
    <w:rsid w:val="00A11536"/>
    <w:rsid w:val="00A326A7"/>
    <w:rsid w:val="00A472FB"/>
    <w:rsid w:val="00A97816"/>
    <w:rsid w:val="00B443B1"/>
    <w:rsid w:val="00BE44D4"/>
    <w:rsid w:val="00C353AC"/>
    <w:rsid w:val="00C356D1"/>
    <w:rsid w:val="00CF697C"/>
    <w:rsid w:val="00D51F21"/>
    <w:rsid w:val="00D82524"/>
    <w:rsid w:val="00E2359F"/>
    <w:rsid w:val="00EB300B"/>
    <w:rsid w:val="00EC0EBB"/>
    <w:rsid w:val="00ED50DE"/>
    <w:rsid w:val="00F03109"/>
    <w:rsid w:val="00F15C72"/>
    <w:rsid w:val="00F37BC5"/>
    <w:rsid w:val="00F50B72"/>
    <w:rsid w:val="00F8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8B20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8B20ED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8B20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8B20ED"/>
    <w:rPr>
      <w:rFonts w:ascii="Calibri" w:eastAsia="Calibri" w:hAnsi="Calibri" w:cs="Calibri"/>
      <w:kern w:val="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8B20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8B20ED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8B20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8B20ED"/>
    <w:rPr>
      <w:rFonts w:ascii="Calibri" w:eastAsia="Calibri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</vt:lpstr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</dc:title>
  <dc:creator>User</dc:creator>
  <cp:lastModifiedBy>Пользователь Windows</cp:lastModifiedBy>
  <cp:revision>2</cp:revision>
  <cp:lastPrinted>2024-09-04T08:48:00Z</cp:lastPrinted>
  <dcterms:created xsi:type="dcterms:W3CDTF">2024-09-11T12:03:00Z</dcterms:created>
  <dcterms:modified xsi:type="dcterms:W3CDTF">2024-09-11T12:03:00Z</dcterms:modified>
</cp:coreProperties>
</file>