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F153D" w:rsidRPr="007D44FF" w:rsidRDefault="0072019F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Default="00D51A6E" w:rsidP="00601BE3">
      <w:pPr>
        <w:pStyle w:val="a3"/>
        <w:spacing w:before="0"/>
      </w:pPr>
    </w:p>
    <w:p w:rsidR="0072019F" w:rsidRPr="007D44FF" w:rsidRDefault="0072019F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546597" w:rsidRDefault="002D6D4A" w:rsidP="0060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966E89">
        <w:rPr>
          <w:b/>
          <w:sz w:val="28"/>
          <w:szCs w:val="28"/>
        </w:rPr>
        <w:t xml:space="preserve">надання </w:t>
      </w:r>
      <w:r w:rsidR="00546597" w:rsidRPr="00546597">
        <w:rPr>
          <w:b/>
          <w:sz w:val="29"/>
          <w:szCs w:val="29"/>
        </w:rPr>
        <w:t>державної соціальної допомоги на дітей-сиріт та дітей, позбавлених батьківського піклування, осіб з їх</w:t>
      </w:r>
      <w:r w:rsidR="00546597" w:rsidRPr="00546597">
        <w:rPr>
          <w:b/>
        </w:rPr>
        <w:br/>
      </w:r>
      <w:r w:rsidR="00546597" w:rsidRPr="00546597">
        <w:rPr>
          <w:b/>
          <w:sz w:val="29"/>
          <w:szCs w:val="29"/>
        </w:rPr>
        <w:t>числа, у тому числі з інвалідністю, які перебувають у дитячих будинках</w:t>
      </w:r>
      <w:r w:rsidR="00546597" w:rsidRPr="00546597">
        <w:rPr>
          <w:b/>
        </w:rPr>
        <w:br/>
      </w:r>
      <w:r w:rsidR="00546597" w:rsidRPr="00546597">
        <w:rPr>
          <w:b/>
          <w:sz w:val="29"/>
          <w:szCs w:val="29"/>
        </w:rPr>
        <w:t xml:space="preserve">сімейного типу та прийомних сім’ях, грошового забезпечення </w:t>
      </w:r>
      <w:proofErr w:type="spellStart"/>
      <w:r w:rsidR="00546597" w:rsidRPr="00546597">
        <w:rPr>
          <w:b/>
          <w:sz w:val="29"/>
          <w:szCs w:val="29"/>
        </w:rPr>
        <w:t>батькам-</w:t>
      </w:r>
      <w:proofErr w:type="spellEnd"/>
      <w:r w:rsidR="00546597" w:rsidRPr="00546597">
        <w:rPr>
          <w:b/>
        </w:rPr>
        <w:br/>
      </w:r>
      <w:r w:rsidR="00546597" w:rsidRPr="00546597">
        <w:rPr>
          <w:b/>
          <w:sz w:val="29"/>
          <w:szCs w:val="29"/>
        </w:rPr>
        <w:t>вихователям і прийомним батькам за надання соціальних послуг у дитячих</w:t>
      </w:r>
      <w:r w:rsidR="00546597">
        <w:rPr>
          <w:b/>
        </w:rPr>
        <w:t xml:space="preserve"> </w:t>
      </w:r>
      <w:r w:rsidR="00546597" w:rsidRPr="00546597">
        <w:rPr>
          <w:b/>
          <w:sz w:val="29"/>
          <w:szCs w:val="29"/>
        </w:rPr>
        <w:t>будинках сімейного типу та прийомних сім’ях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</w:t>
            </w:r>
            <w:r w:rsidRPr="007D44FF">
              <w:rPr>
                <w:i/>
                <w:sz w:val="28"/>
                <w:szCs w:val="28"/>
              </w:rPr>
              <w:lastRenderedPageBreak/>
              <w:t>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72019F" w:rsidRPr="007D44FF" w:rsidTr="00606F90">
        <w:trPr>
          <w:trHeight w:val="763"/>
        </w:trPr>
        <w:tc>
          <w:tcPr>
            <w:tcW w:w="430" w:type="dxa"/>
          </w:tcPr>
          <w:p w:rsidR="0072019F" w:rsidRPr="007D44FF" w:rsidRDefault="0072019F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72019F" w:rsidRPr="007D44FF" w:rsidRDefault="0072019F" w:rsidP="00C23EB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72019F" w:rsidRDefault="0072019F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72019F" w:rsidRPr="007D44FF" w:rsidRDefault="0072019F" w:rsidP="00C23EBD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72019F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="00CE301B">
              <w:rPr>
                <w:i/>
                <w:sz w:val="28"/>
                <w:szCs w:val="28"/>
              </w:rPr>
              <w:lastRenderedPageBreak/>
              <w:t>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6, м.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72019F" w:rsidRPr="007D44FF" w:rsidTr="00606F90">
        <w:trPr>
          <w:trHeight w:val="763"/>
        </w:trPr>
        <w:tc>
          <w:tcPr>
            <w:tcW w:w="430" w:type="dxa"/>
          </w:tcPr>
          <w:p w:rsidR="0072019F" w:rsidRPr="007D44FF" w:rsidRDefault="0072019F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72019F" w:rsidRDefault="0072019F" w:rsidP="00C23EBD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72019F" w:rsidRDefault="0072019F" w:rsidP="00C23EBD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72019F" w:rsidRPr="007D44FF" w:rsidRDefault="0072019F" w:rsidP="00C23EB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2019F" w:rsidRDefault="0072019F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72019F" w:rsidRDefault="0072019F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72019F" w:rsidRDefault="0072019F" w:rsidP="00C23EBD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72019F" w:rsidRDefault="0072019F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72019F" w:rsidRPr="007D44FF" w:rsidRDefault="0072019F" w:rsidP="00C23EB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72019F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P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72019F" w:rsidRPr="007D44FF" w:rsidTr="0043505D">
        <w:trPr>
          <w:trHeight w:val="1119"/>
        </w:trPr>
        <w:tc>
          <w:tcPr>
            <w:tcW w:w="430" w:type="dxa"/>
          </w:tcPr>
          <w:p w:rsidR="0072019F" w:rsidRPr="007D44FF" w:rsidRDefault="0072019F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72019F" w:rsidRPr="007D44FF" w:rsidRDefault="0072019F" w:rsidP="00C23EBD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72019F" w:rsidRDefault="0072019F" w:rsidP="00C23EBD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72019F" w:rsidRDefault="0072019F" w:rsidP="00C23EBD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b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b"/>
                  <w:color w:val="0000FF"/>
                  <w:sz w:val="24"/>
                </w:rPr>
                <w:t>http://novagromada.gov.ua/</w:t>
              </w:r>
            </w:hyperlink>
          </w:p>
          <w:p w:rsidR="0072019F" w:rsidRDefault="0072019F" w:rsidP="00C23EBD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72019F" w:rsidRPr="007D44FF" w:rsidRDefault="0072019F" w:rsidP="00C23EBD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72019F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546597" w:rsidRDefault="00546597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забезпечення</w:t>
            </w:r>
            <w:r>
              <w:t xml:space="preserve"> </w:t>
            </w:r>
            <w:r>
              <w:rPr>
                <w:sz w:val="29"/>
                <w:szCs w:val="29"/>
              </w:rPr>
              <w:t>організаційно-правових умов соціального захисту</w:t>
            </w:r>
            <w:r>
              <w:t xml:space="preserve"> </w:t>
            </w:r>
            <w:r>
              <w:rPr>
                <w:sz w:val="29"/>
                <w:szCs w:val="29"/>
              </w:rPr>
              <w:t>дітей-сиріт та дітей, позбавлених батьківського</w:t>
            </w:r>
            <w:r>
              <w:t xml:space="preserve"> </w:t>
            </w:r>
            <w:r>
              <w:rPr>
                <w:sz w:val="29"/>
                <w:szCs w:val="29"/>
              </w:rPr>
              <w:t>піклування”;</w:t>
            </w:r>
            <w:r>
              <w:t xml:space="preserve"> </w:t>
            </w:r>
          </w:p>
          <w:p w:rsidR="00966E89" w:rsidRDefault="00546597" w:rsidP="00601BE3">
            <w:pPr>
              <w:pStyle w:val="TableParagraph"/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Закон України “Про адміністративну</w:t>
            </w:r>
            <w:r>
              <w:br/>
            </w:r>
            <w:r>
              <w:rPr>
                <w:sz w:val="29"/>
                <w:szCs w:val="29"/>
              </w:rPr>
              <w:t>процедуру”.</w:t>
            </w:r>
          </w:p>
          <w:p w:rsidR="00546597" w:rsidRPr="007D44FF" w:rsidRDefault="00546597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72019F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призначення і виплати державної</w:t>
            </w:r>
            <w:r>
              <w:br/>
            </w:r>
            <w:r>
              <w:rPr>
                <w:sz w:val="29"/>
                <w:szCs w:val="29"/>
              </w:rPr>
              <w:t>соціальної допомоги на дітей-сиріт та дітей,</w:t>
            </w:r>
            <w:r>
              <w:br/>
            </w:r>
            <w:r>
              <w:rPr>
                <w:sz w:val="29"/>
                <w:szCs w:val="29"/>
              </w:rPr>
              <w:t>позбавлених батьківського піклування, осіб з їх</w:t>
            </w:r>
            <w:r>
              <w:br/>
            </w:r>
            <w:r>
              <w:rPr>
                <w:sz w:val="29"/>
                <w:szCs w:val="29"/>
              </w:rPr>
              <w:t>числа, у тому числі з інвалідністю, грошового</w:t>
            </w:r>
            <w:r>
              <w:br/>
            </w:r>
            <w:r>
              <w:rPr>
                <w:sz w:val="29"/>
                <w:szCs w:val="29"/>
              </w:rPr>
              <w:t>забезпечення батькам-вихователям і прийомним</w:t>
            </w:r>
            <w:r>
              <w:br/>
            </w:r>
            <w:r>
              <w:rPr>
                <w:sz w:val="29"/>
                <w:szCs w:val="29"/>
              </w:rPr>
              <w:t>батькам за надання соціальних послуг у дитячих</w:t>
            </w:r>
            <w:r>
              <w:br/>
            </w:r>
            <w:r>
              <w:rPr>
                <w:sz w:val="29"/>
                <w:szCs w:val="29"/>
              </w:rPr>
              <w:t>будинках сімейного типу та прийомних сім’ях за принципом “гроші ходять за дитиною”,</w:t>
            </w:r>
            <w:r>
              <w:br/>
            </w:r>
            <w:r>
              <w:rPr>
                <w:sz w:val="29"/>
                <w:szCs w:val="29"/>
              </w:rPr>
              <w:t>затверджений постановою Кабінету Міністрів</w:t>
            </w:r>
            <w:r>
              <w:br/>
            </w:r>
            <w:r>
              <w:rPr>
                <w:sz w:val="29"/>
                <w:szCs w:val="29"/>
              </w:rPr>
              <w:t>України від 26 червня 2019 року №552;</w:t>
            </w:r>
            <w:r>
              <w:t xml:space="preserve"> </w:t>
            </w:r>
          </w:p>
          <w:p w:rsidR="007E6B55" w:rsidRDefault="00546597" w:rsidP="00601BE3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</w:t>
            </w:r>
            <w:r>
              <w:br/>
            </w:r>
            <w:r>
              <w:rPr>
                <w:sz w:val="29"/>
                <w:szCs w:val="29"/>
              </w:rPr>
              <w:t>Пенсійного фонду України” (далі – постанова</w:t>
            </w:r>
            <w:r>
              <w:br/>
            </w:r>
            <w:r>
              <w:rPr>
                <w:sz w:val="29"/>
                <w:szCs w:val="29"/>
              </w:rPr>
              <w:t>№765).</w:t>
            </w:r>
          </w:p>
          <w:p w:rsidR="00546597" w:rsidRPr="007E6B55" w:rsidRDefault="00546597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72019F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Default="007F6542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  <w:p w:rsidR="00546597" w:rsidRPr="007D44FF" w:rsidRDefault="00546597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72019F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546597" w:rsidRDefault="00546597" w:rsidP="00601BE3">
            <w:pPr>
              <w:widowControl/>
              <w:adjustRightInd w:val="0"/>
              <w:ind w:firstLine="284"/>
              <w:jc w:val="both"/>
            </w:pPr>
            <w:r>
              <w:rPr>
                <w:sz w:val="29"/>
                <w:szCs w:val="29"/>
              </w:rPr>
              <w:t>Батьки-вихователі;</w:t>
            </w:r>
            <w:r>
              <w:t xml:space="preserve"> </w:t>
            </w:r>
          </w:p>
          <w:p w:rsidR="007E6B55" w:rsidRPr="007F067C" w:rsidRDefault="00546597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один з прийомних батьків.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72019F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944A65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72019F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601BE3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324353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="00324353">
              <w:rPr>
                <w:rFonts w:eastAsiaTheme="minorHAnsi"/>
                <w:sz w:val="28"/>
                <w:szCs w:val="28"/>
              </w:rPr>
              <w:t xml:space="preserve">відмітку в паспорті); </w:t>
            </w:r>
          </w:p>
          <w:p w:rsidR="00324353" w:rsidRDefault="0032435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заява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м. Києві</w:t>
            </w:r>
            <w:r>
              <w:br/>
            </w:r>
            <w:r>
              <w:rPr>
                <w:sz w:val="29"/>
                <w:szCs w:val="29"/>
              </w:rPr>
              <w:t>держадміністрації, виконавчого органу міської,</w:t>
            </w:r>
            <w:r>
              <w:br/>
            </w:r>
            <w:r>
              <w:rPr>
                <w:sz w:val="29"/>
                <w:szCs w:val="29"/>
              </w:rPr>
              <w:t>районної у місті (у разі її утворення) ради про</w:t>
            </w:r>
            <w:r>
              <w:br/>
            </w:r>
            <w:r>
              <w:rPr>
                <w:sz w:val="29"/>
                <w:szCs w:val="29"/>
              </w:rPr>
              <w:t>влаштування дитини до дитячого будинку</w:t>
            </w:r>
            <w:r>
              <w:br/>
            </w:r>
            <w:r>
              <w:rPr>
                <w:sz w:val="29"/>
                <w:szCs w:val="29"/>
              </w:rPr>
              <w:t>сімейного типу або прийомної сім’ї;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lastRenderedPageBreak/>
              <w:t>документи, що підтверджують статус дитини;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інформація органу державної виконавчої</w:t>
            </w:r>
            <w:r>
              <w:br/>
            </w:r>
            <w:r>
              <w:rPr>
                <w:sz w:val="29"/>
                <w:szCs w:val="29"/>
              </w:rPr>
              <w:t>служби про розмір аліментів;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довідка з місця навчання про розмір стипендії;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висновку медико-соціальної експертної</w:t>
            </w:r>
            <w:r>
              <w:br/>
            </w:r>
            <w:r>
              <w:rPr>
                <w:sz w:val="29"/>
                <w:szCs w:val="29"/>
              </w:rPr>
              <w:t>комісії або витягу з рішення експертної команди з</w:t>
            </w:r>
            <w:r>
              <w:t xml:space="preserve"> </w:t>
            </w:r>
            <w:r>
              <w:rPr>
                <w:sz w:val="29"/>
                <w:szCs w:val="29"/>
              </w:rPr>
              <w:t>оцінювання повсякденного функціонування особи,</w:t>
            </w:r>
            <w:r>
              <w:t xml:space="preserve"> </w:t>
            </w:r>
            <w:r>
              <w:rPr>
                <w:sz w:val="29"/>
                <w:szCs w:val="29"/>
              </w:rPr>
              <w:t>або медичного висновку лікарсько-консультативної комісії закладу охорони здоров’я</w:t>
            </w:r>
            <w:r>
              <w:t xml:space="preserve"> </w:t>
            </w:r>
            <w:r>
              <w:rPr>
                <w:sz w:val="29"/>
                <w:szCs w:val="29"/>
              </w:rPr>
              <w:t>про дитину з інвалідністю, що видані в</w:t>
            </w:r>
            <w:r>
              <w:br/>
            </w:r>
            <w:r>
              <w:rPr>
                <w:sz w:val="29"/>
                <w:szCs w:val="29"/>
              </w:rPr>
              <w:t>установленому Міністерством охорони здоров’я</w:t>
            </w:r>
            <w:r>
              <w:br/>
            </w:r>
            <w:r>
              <w:rPr>
                <w:sz w:val="29"/>
                <w:szCs w:val="29"/>
              </w:rPr>
              <w:t>України порядку;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копія посвідчення громадянина, який</w:t>
            </w:r>
            <w:r w:rsidR="00601BE3">
              <w:t xml:space="preserve"> </w:t>
            </w:r>
            <w:r>
              <w:rPr>
                <w:sz w:val="29"/>
                <w:szCs w:val="29"/>
              </w:rPr>
              <w:t>проживає, працює (навчається) на території</w:t>
            </w:r>
            <w:r>
              <w:t xml:space="preserve"> </w:t>
            </w:r>
            <w:r>
              <w:rPr>
                <w:sz w:val="29"/>
                <w:szCs w:val="29"/>
              </w:rPr>
              <w:t>гірського населеного пункту, виданого відповідно</w:t>
            </w:r>
            <w:r>
              <w:t xml:space="preserve"> </w:t>
            </w:r>
            <w:r>
              <w:rPr>
                <w:sz w:val="29"/>
                <w:szCs w:val="29"/>
              </w:rPr>
              <w:t>до Закону України “Про статус гірських населених</w:t>
            </w:r>
            <w:r>
              <w:t xml:space="preserve"> </w:t>
            </w:r>
            <w:r>
              <w:rPr>
                <w:sz w:val="29"/>
                <w:szCs w:val="29"/>
              </w:rPr>
              <w:t>пунктів в Україні”.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Документи, що подаються в окремих випадках: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довідка про розмір стипендії та про те, що</w:t>
            </w:r>
            <w:r>
              <w:br/>
            </w:r>
            <w:r>
              <w:rPr>
                <w:sz w:val="29"/>
                <w:szCs w:val="29"/>
              </w:rPr>
              <w:t>особа не перебуває на повному державному</w:t>
            </w:r>
            <w:r>
              <w:br/>
            </w:r>
            <w:r>
              <w:rPr>
                <w:sz w:val="29"/>
                <w:szCs w:val="29"/>
              </w:rPr>
              <w:t>утриманні (якщо особа з числа дітей-сиріт та</w:t>
            </w:r>
            <w:r>
              <w:br/>
            </w:r>
            <w:r>
              <w:rPr>
                <w:sz w:val="29"/>
                <w:szCs w:val="29"/>
              </w:rPr>
              <w:t>дітей, позбавлених батьківського піклування, віком</w:t>
            </w:r>
            <w:r>
              <w:t xml:space="preserve"> </w:t>
            </w:r>
            <w:r>
              <w:rPr>
                <w:sz w:val="29"/>
                <w:szCs w:val="29"/>
              </w:rPr>
              <w:t>від 18 до 23 років або до закінчення відповідного</w:t>
            </w:r>
            <w:r>
              <w:t xml:space="preserve"> </w:t>
            </w:r>
            <w:r>
              <w:rPr>
                <w:sz w:val="29"/>
                <w:szCs w:val="29"/>
              </w:rPr>
              <w:t>закладу освіти навчається за денною або дуальною</w:t>
            </w:r>
            <w:r>
              <w:t xml:space="preserve"> </w:t>
            </w:r>
            <w:r>
              <w:rPr>
                <w:sz w:val="29"/>
                <w:szCs w:val="29"/>
              </w:rPr>
              <w:t>формою здобуття освіти у закладах загальної</w:t>
            </w:r>
            <w:r>
              <w:t xml:space="preserve"> </w:t>
            </w:r>
            <w:r>
              <w:rPr>
                <w:sz w:val="29"/>
                <w:szCs w:val="29"/>
              </w:rPr>
              <w:t>середньої, професійної (професійно-технічної),</w:t>
            </w:r>
            <w:r>
              <w:t xml:space="preserve"> </w:t>
            </w:r>
            <w:r>
              <w:rPr>
                <w:sz w:val="29"/>
                <w:szCs w:val="29"/>
              </w:rPr>
              <w:t>фахової передвищої, вищої освіти;</w:t>
            </w:r>
            <w:r>
              <w:t xml:space="preserve"> </w:t>
            </w:r>
          </w:p>
          <w:p w:rsidR="00546597" w:rsidRDefault="00546597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розписка про прийняття документів для вступу</w:t>
            </w:r>
            <w:r>
              <w:t xml:space="preserve"> </w:t>
            </w:r>
            <w:r>
              <w:rPr>
                <w:sz w:val="29"/>
                <w:szCs w:val="29"/>
              </w:rPr>
              <w:t>особи, якій виповнилося 18 років, до закладу</w:t>
            </w:r>
            <w:r>
              <w:t xml:space="preserve"> </w:t>
            </w:r>
            <w:r>
              <w:rPr>
                <w:sz w:val="29"/>
                <w:szCs w:val="29"/>
              </w:rPr>
              <w:t>професійної (професійно-технічної), фахової</w:t>
            </w:r>
            <w:r>
              <w:t xml:space="preserve"> </w:t>
            </w:r>
            <w:r>
              <w:rPr>
                <w:sz w:val="29"/>
                <w:szCs w:val="29"/>
              </w:rPr>
              <w:t>передвищої та вищої освіти закладу освіти та</w:t>
            </w:r>
            <w:r>
              <w:t xml:space="preserve"> </w:t>
            </w:r>
            <w:r>
              <w:rPr>
                <w:sz w:val="29"/>
                <w:szCs w:val="29"/>
              </w:rPr>
              <w:t>клопотання служби у справах дітей;</w:t>
            </w:r>
            <w:r>
              <w:t xml:space="preserve"> </w:t>
            </w:r>
          </w:p>
          <w:p w:rsidR="0043505D" w:rsidRDefault="00546597" w:rsidP="00601BE3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довідка з місця навчання про те, що дитина не</w:t>
            </w:r>
            <w:r>
              <w:br/>
            </w:r>
            <w:r>
              <w:rPr>
                <w:sz w:val="29"/>
                <w:szCs w:val="29"/>
              </w:rPr>
              <w:t>перебуває на повному державному утриманні (у</w:t>
            </w:r>
            <w:r>
              <w:br/>
            </w:r>
            <w:r>
              <w:rPr>
                <w:sz w:val="29"/>
                <w:szCs w:val="29"/>
              </w:rPr>
              <w:t xml:space="preserve">разі проживання у період навчання </w:t>
            </w:r>
            <w:proofErr w:type="spellStart"/>
            <w:r>
              <w:rPr>
                <w:sz w:val="29"/>
                <w:szCs w:val="29"/>
              </w:rPr>
              <w:t>дитини-</w:t>
            </w:r>
            <w:proofErr w:type="spellEnd"/>
            <w:r>
              <w:br/>
            </w:r>
            <w:r>
              <w:rPr>
                <w:sz w:val="29"/>
                <w:szCs w:val="29"/>
              </w:rPr>
              <w:t>вихованця або прийомної дитини окремо від сім’ї</w:t>
            </w:r>
            <w:r>
              <w:br/>
            </w:r>
            <w:r>
              <w:rPr>
                <w:sz w:val="29"/>
                <w:szCs w:val="29"/>
              </w:rPr>
              <w:t>в іншій місцевості).</w:t>
            </w:r>
          </w:p>
          <w:p w:rsidR="00546597" w:rsidRPr="004F1CDB" w:rsidRDefault="00546597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для отримання допомоги необхідно</w:t>
            </w:r>
            <w:r>
              <w:br/>
            </w:r>
            <w:r>
              <w:rPr>
                <w:sz w:val="29"/>
                <w:szCs w:val="29"/>
              </w:rPr>
              <w:t>подати документи та/або відомості, що містяться в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інформаційно-комунікаційних системах, або </w:t>
            </w:r>
            <w:r>
              <w:rPr>
                <w:sz w:val="29"/>
                <w:szCs w:val="29"/>
              </w:rPr>
              <w:lastRenderedPageBreak/>
              <w:t>якщо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можуть бути</w:t>
            </w:r>
            <w:r>
              <w:t xml:space="preserve"> </w:t>
            </w:r>
            <w:r>
              <w:rPr>
                <w:sz w:val="29"/>
                <w:szCs w:val="29"/>
              </w:rPr>
              <w:t>отримані / підтверджені шляхом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</w:t>
            </w:r>
            <w:r>
              <w:t xml:space="preserve"> </w:t>
            </w:r>
            <w:r>
              <w:rPr>
                <w:sz w:val="29"/>
                <w:szCs w:val="29"/>
              </w:rPr>
              <w:t>відповідних реєстрів і надання допомоги</w:t>
            </w:r>
            <w:r w:rsidR="00601BE3">
              <w:rPr>
                <w:sz w:val="29"/>
                <w:szCs w:val="29"/>
              </w:rPr>
              <w:t>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72019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72019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2D6D4A">
              <w:rPr>
                <w:sz w:val="29"/>
                <w:szCs w:val="29"/>
              </w:rPr>
              <w:t>сервісних центрів 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2D6D4A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2D6D4A">
              <w:rPr>
                <w:sz w:val="29"/>
                <w:szCs w:val="29"/>
              </w:rPr>
              <w:t xml:space="preserve">Хмельницькій </w:t>
            </w:r>
            <w:r w:rsidR="00EA232E">
              <w:rPr>
                <w:sz w:val="29"/>
                <w:szCs w:val="29"/>
              </w:rPr>
              <w:t>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EA232E">
              <w:rPr>
                <w:sz w:val="29"/>
                <w:szCs w:val="29"/>
              </w:rPr>
              <w:t>ого</w:t>
            </w:r>
            <w:r>
              <w:br/>
            </w:r>
            <w:r>
              <w:rPr>
                <w:sz w:val="29"/>
                <w:szCs w:val="29"/>
              </w:rPr>
              <w:t>управлін</w:t>
            </w:r>
            <w:r w:rsidR="00EA232E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EA232E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43505D" w:rsidRDefault="0032435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72019F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72019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72019F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72019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601BE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01BE3">
              <w:rPr>
                <w:sz w:val="29"/>
                <w:szCs w:val="29"/>
              </w:rPr>
              <w:t>Протягом десяти робочих днів з дати</w:t>
            </w:r>
            <w:r w:rsidR="00601BE3">
              <w:br/>
            </w:r>
            <w:r w:rsidR="00601BE3">
              <w:rPr>
                <w:sz w:val="29"/>
                <w:szCs w:val="29"/>
              </w:rPr>
              <w:t>надходження документів / відомостей.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72019F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7201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01BE3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601BE3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Досягнення дитиною 18-річного віку, а у разі</w:t>
            </w:r>
            <w:r>
              <w:br/>
            </w:r>
            <w:r>
              <w:rPr>
                <w:sz w:val="29"/>
                <w:szCs w:val="29"/>
              </w:rPr>
              <w:t>навчання у закладі загальної середньої освіти, за</w:t>
            </w:r>
            <w:r>
              <w:br/>
            </w:r>
            <w:r>
              <w:rPr>
                <w:sz w:val="29"/>
                <w:szCs w:val="29"/>
              </w:rPr>
              <w:t>денною формою навчання у закладі професійної</w:t>
            </w:r>
            <w:r>
              <w:br/>
            </w:r>
            <w:r>
              <w:rPr>
                <w:sz w:val="29"/>
                <w:szCs w:val="29"/>
              </w:rPr>
              <w:t>(професійно-технічної), фахової передвищої та</w:t>
            </w:r>
            <w:r>
              <w:br/>
            </w:r>
            <w:r>
              <w:rPr>
                <w:sz w:val="29"/>
                <w:szCs w:val="29"/>
              </w:rPr>
              <w:t>вищої освіти – 23-річного віку або закінчення</w:t>
            </w:r>
            <w:r>
              <w:br/>
            </w:r>
            <w:r>
              <w:rPr>
                <w:sz w:val="29"/>
                <w:szCs w:val="29"/>
              </w:rPr>
              <w:t>відповідного закладу освіти;</w:t>
            </w:r>
            <w:r>
              <w:t xml:space="preserve"> </w:t>
            </w:r>
          </w:p>
          <w:p w:rsidR="00601BE3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набуття або надання дитині повної цивільної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дієздатності (реєстрація шлюбу, </w:t>
            </w:r>
            <w:r>
              <w:rPr>
                <w:sz w:val="29"/>
                <w:szCs w:val="29"/>
              </w:rPr>
              <w:lastRenderedPageBreak/>
              <w:t>працевлаштування за трудовим договором, запис матір’ю або батьком</w:t>
            </w:r>
            <w:r>
              <w:t xml:space="preserve"> </w:t>
            </w:r>
            <w:r>
              <w:rPr>
                <w:sz w:val="29"/>
                <w:szCs w:val="29"/>
              </w:rPr>
              <w:t>дитини, провадження підприємницької</w:t>
            </w:r>
            <w:r>
              <w:t xml:space="preserve"> </w:t>
            </w:r>
            <w:r>
              <w:rPr>
                <w:sz w:val="29"/>
                <w:szCs w:val="29"/>
              </w:rPr>
              <w:t>діяльності);</w:t>
            </w:r>
            <w:r>
              <w:t xml:space="preserve"> </w:t>
            </w:r>
          </w:p>
          <w:p w:rsidR="00601BE3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влаштування дитини в заклад освіти на повне</w:t>
            </w:r>
            <w:r>
              <w:br/>
            </w:r>
            <w:r>
              <w:rPr>
                <w:sz w:val="29"/>
                <w:szCs w:val="29"/>
              </w:rPr>
              <w:t>державне забезпечення;</w:t>
            </w:r>
            <w:r>
              <w:t xml:space="preserve"> </w:t>
            </w:r>
          </w:p>
          <w:p w:rsidR="007E6B55" w:rsidRPr="00AC3E05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смерть дитини.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72019F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72019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601BE3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/ відмову в призначенні</w:t>
            </w:r>
            <w:r>
              <w:t xml:space="preserve"> </w:t>
            </w:r>
            <w:r>
              <w:rPr>
                <w:sz w:val="29"/>
                <w:szCs w:val="29"/>
              </w:rPr>
              <w:t>державної соціальної допомоги, грошового</w:t>
            </w:r>
            <w:r>
              <w:t xml:space="preserve"> </w:t>
            </w:r>
            <w:r>
              <w:rPr>
                <w:sz w:val="29"/>
                <w:szCs w:val="29"/>
              </w:rPr>
              <w:t>забезпечення.</w:t>
            </w:r>
            <w:r>
              <w:t xml:space="preserve"> </w:t>
            </w:r>
          </w:p>
          <w:p w:rsidR="00601BE3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>документи та/або відомості, орган Пенсійного</w:t>
            </w:r>
            <w:r>
              <w:br/>
            </w:r>
            <w:r>
              <w:rPr>
                <w:sz w:val="29"/>
                <w:szCs w:val="29"/>
              </w:rPr>
              <w:t>фонду України протягом трьох робочих днів з дня</w:t>
            </w:r>
            <w:r>
              <w:t xml:space="preserve"> </w:t>
            </w:r>
            <w:r>
              <w:rPr>
                <w:sz w:val="29"/>
                <w:szCs w:val="29"/>
              </w:rPr>
              <w:t>отримання заяви повідомляє заявника про</w:t>
            </w:r>
            <w:r>
              <w:br/>
            </w:r>
            <w:r>
              <w:rPr>
                <w:sz w:val="29"/>
                <w:szCs w:val="29"/>
              </w:rPr>
              <w:t>зупинення строку розгляду заяви.</w:t>
            </w:r>
            <w:r>
              <w:t xml:space="preserve"> </w:t>
            </w:r>
          </w:p>
          <w:p w:rsidR="007E6B55" w:rsidRPr="0043505D" w:rsidRDefault="00601BE3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необхідні документи та/або</w:t>
            </w:r>
            <w:r>
              <w:br/>
            </w:r>
            <w:r>
              <w:rPr>
                <w:sz w:val="29"/>
                <w:szCs w:val="29"/>
              </w:rPr>
              <w:t>відомості подані не пізніше ніж протягом</w:t>
            </w:r>
            <w:r>
              <w:br/>
            </w:r>
            <w:r>
              <w:rPr>
                <w:sz w:val="29"/>
                <w:szCs w:val="29"/>
              </w:rPr>
              <w:t>30 календарних днів з дня одержання зазначеного</w:t>
            </w:r>
            <w:r>
              <w:t xml:space="preserve"> </w:t>
            </w:r>
            <w:r>
              <w:rPr>
                <w:sz w:val="29"/>
                <w:szCs w:val="29"/>
              </w:rPr>
              <w:t>повідомлення, днем (місяцем) звернення за</w:t>
            </w:r>
            <w:r>
              <w:t xml:space="preserve"> </w:t>
            </w:r>
            <w:r>
              <w:rPr>
                <w:sz w:val="29"/>
                <w:szCs w:val="29"/>
              </w:rPr>
              <w:t>призначенням допомоги вважається день (місяць)</w:t>
            </w:r>
            <w:r>
              <w:t xml:space="preserve"> </w:t>
            </w:r>
            <w:r>
              <w:rPr>
                <w:sz w:val="29"/>
                <w:szCs w:val="29"/>
              </w:rPr>
              <w:t>прийняття або відправлення заяви</w:t>
            </w:r>
            <w:r w:rsidR="007E6B55">
              <w:rPr>
                <w:sz w:val="29"/>
                <w:szCs w:val="29"/>
              </w:rPr>
              <w:t>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72019F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72019F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546597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BA" w:rsidRDefault="00AD6BBA">
      <w:r>
        <w:separator/>
      </w:r>
    </w:p>
  </w:endnote>
  <w:endnote w:type="continuationSeparator" w:id="0">
    <w:p w:rsidR="00AD6BBA" w:rsidRDefault="00AD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BA" w:rsidRDefault="00AD6BBA">
      <w:r>
        <w:separator/>
      </w:r>
    </w:p>
  </w:footnote>
  <w:footnote w:type="continuationSeparator" w:id="0">
    <w:p w:rsidR="00AD6BBA" w:rsidRDefault="00AD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2D6D4A" w:rsidRDefault="002D6D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19F" w:rsidRPr="0072019F">
          <w:rPr>
            <w:noProof/>
            <w:lang w:val="ru-RU"/>
          </w:rPr>
          <w:t>8</w:t>
        </w:r>
        <w:r>
          <w:fldChar w:fldCharType="end"/>
        </w:r>
      </w:p>
    </w:sdtContent>
  </w:sdt>
  <w:p w:rsidR="002D6D4A" w:rsidRDefault="002D6D4A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D6D4A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2019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44A65"/>
    <w:rsid w:val="00952C30"/>
    <w:rsid w:val="00966E89"/>
    <w:rsid w:val="00975B2F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D6BBA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A232E"/>
    <w:rsid w:val="00EC1DF8"/>
    <w:rsid w:val="00ED5E5B"/>
    <w:rsid w:val="00EE5AF0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720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720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7837-82D4-4330-903E-9F9FEE7C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8368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2025-08-05T08:06:00Z</cp:lastPrinted>
  <dcterms:created xsi:type="dcterms:W3CDTF">2025-08-08T08:44:00Z</dcterms:created>
  <dcterms:modified xsi:type="dcterms:W3CDTF">2025-08-08T08:44:00Z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