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F153D">
      <w:pPr>
        <w:pStyle w:val="a3"/>
        <w:spacing w:before="64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8D530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C723A3" w:rsidRDefault="00C723A3" w:rsidP="00C723A3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r>
        <w:t>16.07.2025 № 526</w:t>
      </w:r>
    </w:p>
    <w:p w:rsidR="00AF153D" w:rsidRPr="007D44FF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bookmarkStart w:id="0" w:name="_GoBack"/>
      <w:bookmarkEnd w:id="0"/>
    </w:p>
    <w:p w:rsidR="00D51A6E" w:rsidRPr="007D44FF" w:rsidRDefault="00D51A6E">
      <w:pPr>
        <w:pStyle w:val="a3"/>
        <w:spacing w:before="0" w:line="20" w:lineRule="exact"/>
        <w:ind w:left="5359"/>
      </w:pPr>
    </w:p>
    <w:p w:rsidR="00D51A6E" w:rsidRPr="007D44FF" w:rsidRDefault="00D51A6E">
      <w:pPr>
        <w:pStyle w:val="a3"/>
      </w:pPr>
    </w:p>
    <w:p w:rsidR="00D51A6E" w:rsidRPr="007D44FF" w:rsidRDefault="0042681D">
      <w:pPr>
        <w:spacing w:before="88"/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03CAE" w:rsidRPr="00803CAE" w:rsidRDefault="00AC3E05" w:rsidP="0080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20E38">
        <w:rPr>
          <w:b/>
          <w:sz w:val="28"/>
          <w:szCs w:val="28"/>
        </w:rPr>
        <w:t xml:space="preserve">дміністративної послуги з надання державної допомоги </w:t>
      </w:r>
      <w:r w:rsidR="00803CAE">
        <w:rPr>
          <w:b/>
          <w:sz w:val="28"/>
          <w:szCs w:val="28"/>
        </w:rPr>
        <w:t xml:space="preserve">на дітей, хворих на </w:t>
      </w:r>
      <w:r w:rsidR="00803CAE" w:rsidRPr="00803CAE">
        <w:rPr>
          <w:b/>
          <w:sz w:val="28"/>
          <w:szCs w:val="28"/>
        </w:rPr>
        <w:t xml:space="preserve">тяжкі </w:t>
      </w:r>
      <w:proofErr w:type="spellStart"/>
      <w:r w:rsidR="00803CAE" w:rsidRPr="00803CAE">
        <w:rPr>
          <w:b/>
          <w:sz w:val="28"/>
          <w:szCs w:val="28"/>
        </w:rPr>
        <w:t>перинатальні</w:t>
      </w:r>
      <w:proofErr w:type="spellEnd"/>
      <w:r w:rsidR="00803CAE" w:rsidRPr="00803CAE">
        <w:rPr>
          <w:b/>
          <w:sz w:val="28"/>
          <w:szCs w:val="28"/>
        </w:rPr>
        <w:t xml:space="preserve"> ураження нервової системи, тяжкі вроджені вади</w:t>
      </w:r>
    </w:p>
    <w:p w:rsidR="00803CAE" w:rsidRPr="00803CAE" w:rsidRDefault="00803CAE" w:rsidP="00803CAE">
      <w:pPr>
        <w:jc w:val="center"/>
        <w:rPr>
          <w:b/>
          <w:sz w:val="28"/>
          <w:szCs w:val="28"/>
        </w:rPr>
      </w:pPr>
      <w:r w:rsidRPr="00803CAE">
        <w:rPr>
          <w:b/>
          <w:sz w:val="28"/>
          <w:szCs w:val="28"/>
        </w:rPr>
        <w:t xml:space="preserve">розвитку, рідкісні </w:t>
      </w:r>
      <w:proofErr w:type="spellStart"/>
      <w:r w:rsidRPr="00803CAE">
        <w:rPr>
          <w:b/>
          <w:sz w:val="28"/>
          <w:szCs w:val="28"/>
        </w:rPr>
        <w:t>орфанні</w:t>
      </w:r>
      <w:proofErr w:type="spellEnd"/>
      <w:r w:rsidRPr="00803CAE">
        <w:rPr>
          <w:b/>
          <w:sz w:val="28"/>
          <w:szCs w:val="28"/>
        </w:rPr>
        <w:t xml:space="preserve"> захворювання, онкологічні, </w:t>
      </w:r>
      <w:proofErr w:type="spellStart"/>
      <w:r w:rsidRPr="00803CAE">
        <w:rPr>
          <w:b/>
          <w:sz w:val="28"/>
          <w:szCs w:val="28"/>
        </w:rPr>
        <w:t>онкогематологічні</w:t>
      </w:r>
      <w:proofErr w:type="spellEnd"/>
    </w:p>
    <w:p w:rsidR="00803CAE" w:rsidRPr="00803CAE" w:rsidRDefault="00803CAE" w:rsidP="00803CAE">
      <w:pPr>
        <w:jc w:val="center"/>
        <w:rPr>
          <w:b/>
          <w:sz w:val="28"/>
          <w:szCs w:val="28"/>
        </w:rPr>
      </w:pPr>
      <w:r w:rsidRPr="00803CAE">
        <w:rPr>
          <w:b/>
          <w:sz w:val="28"/>
          <w:szCs w:val="28"/>
        </w:rPr>
        <w:t>захворювання, дитячий церебральний параліч, тяжкі психічні розлади,</w:t>
      </w:r>
    </w:p>
    <w:p w:rsidR="00803CAE" w:rsidRDefault="00803CAE" w:rsidP="00803CAE">
      <w:pPr>
        <w:jc w:val="center"/>
        <w:rPr>
          <w:b/>
          <w:sz w:val="28"/>
          <w:szCs w:val="28"/>
        </w:rPr>
      </w:pPr>
      <w:r w:rsidRPr="00803CAE">
        <w:rPr>
          <w:b/>
          <w:sz w:val="28"/>
          <w:szCs w:val="28"/>
        </w:rPr>
        <w:t>цукровий діабет I типу (інсулінозалежний), г</w:t>
      </w:r>
      <w:r>
        <w:rPr>
          <w:b/>
          <w:sz w:val="28"/>
          <w:szCs w:val="28"/>
        </w:rPr>
        <w:t xml:space="preserve">острі або хронічні захворювання </w:t>
      </w:r>
      <w:r w:rsidRPr="00803CAE">
        <w:rPr>
          <w:b/>
          <w:sz w:val="28"/>
          <w:szCs w:val="28"/>
        </w:rPr>
        <w:t xml:space="preserve">нирок IV ступеня, на дитину, яка </w:t>
      </w:r>
      <w:r>
        <w:rPr>
          <w:b/>
          <w:sz w:val="28"/>
          <w:szCs w:val="28"/>
        </w:rPr>
        <w:t xml:space="preserve">отримала тяжку травму, потребує </w:t>
      </w:r>
      <w:r w:rsidRPr="00803CAE">
        <w:rPr>
          <w:b/>
          <w:sz w:val="28"/>
          <w:szCs w:val="28"/>
        </w:rPr>
        <w:t>трансплантації органа, потребує паліативно</w:t>
      </w:r>
      <w:r>
        <w:rPr>
          <w:b/>
          <w:sz w:val="28"/>
          <w:szCs w:val="28"/>
        </w:rPr>
        <w:t>ї допомоги, яким не встановлено інвалідність</w:t>
      </w:r>
    </w:p>
    <w:p w:rsidR="00AF153D" w:rsidRPr="00803CAE" w:rsidRDefault="003419C3" w:rsidP="00803CAE">
      <w:pPr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C43637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B46675" w:rsidRDefault="00B46675" w:rsidP="00B46675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B46675" w:rsidP="00B46675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  <w:r w:rsidRPr="007D44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пров. Український,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 xml:space="preserve">Нова </w:t>
            </w:r>
            <w:proofErr w:type="spellStart"/>
            <w:r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Pr="007D44FF">
              <w:rPr>
                <w:i/>
                <w:sz w:val="28"/>
                <w:szCs w:val="28"/>
              </w:rPr>
              <w:t>, Кам’янець – Подільський район, Хмельницька область;</w:t>
            </w:r>
          </w:p>
          <w:p w:rsidR="00457023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 xml:space="preserve">, м. </w:t>
            </w:r>
            <w:proofErr w:type="spellStart"/>
            <w:r w:rsidRPr="007D44FF">
              <w:rPr>
                <w:i/>
                <w:sz w:val="28"/>
                <w:szCs w:val="28"/>
              </w:rPr>
              <w:t>Дунаївці</w:t>
            </w:r>
            <w:proofErr w:type="spellEnd"/>
            <w:r w:rsidRPr="007D44FF">
              <w:rPr>
                <w:i/>
                <w:sz w:val="28"/>
                <w:szCs w:val="28"/>
              </w:rPr>
              <w:t>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proofErr w:type="spellStart"/>
            <w:r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м. </w:t>
            </w:r>
            <w:proofErr w:type="spellStart"/>
            <w:r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3D7F17" w:rsidRPr="007D44FF" w:rsidRDefault="00C43637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B46675" w:rsidRPr="007D44FF" w:rsidTr="00606F90">
        <w:trPr>
          <w:trHeight w:val="763"/>
        </w:trPr>
        <w:tc>
          <w:tcPr>
            <w:tcW w:w="430" w:type="dxa"/>
          </w:tcPr>
          <w:p w:rsidR="00B46675" w:rsidRPr="007D44FF" w:rsidRDefault="00B46675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B46675" w:rsidRPr="007D44FF" w:rsidRDefault="00B46675" w:rsidP="002D1B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B46675" w:rsidRDefault="00B46675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B46675" w:rsidRPr="007D44FF" w:rsidRDefault="00B46675" w:rsidP="002D1BF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B46675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пров. Український,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</w:t>
            </w:r>
            <w:proofErr w:type="spellStart"/>
            <w:r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</w:t>
            </w:r>
            <w:proofErr w:type="spellStart"/>
            <w:r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</w:t>
            </w:r>
            <w:proofErr w:type="spellStart"/>
            <w:r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 xml:space="preserve">1, м. </w:t>
            </w:r>
            <w:proofErr w:type="spellStart"/>
            <w:r w:rsidR="008F759C">
              <w:rPr>
                <w:i/>
                <w:sz w:val="28"/>
                <w:szCs w:val="28"/>
              </w:rPr>
              <w:t>Дунаївці</w:t>
            </w:r>
            <w:proofErr w:type="spellEnd"/>
            <w:r w:rsidR="008F759C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25,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1А,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пров. Український,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с-ще Нова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16,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 xml:space="preserve">1, м. </w:t>
            </w:r>
            <w:proofErr w:type="spellStart"/>
            <w:r w:rsidR="008F759C">
              <w:rPr>
                <w:i/>
                <w:sz w:val="28"/>
                <w:szCs w:val="28"/>
              </w:rPr>
              <w:t>Дунаївці</w:t>
            </w:r>
            <w:proofErr w:type="spellEnd"/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6, м.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B46675" w:rsidRPr="007D44FF" w:rsidTr="00606F90">
        <w:trPr>
          <w:trHeight w:val="763"/>
        </w:trPr>
        <w:tc>
          <w:tcPr>
            <w:tcW w:w="430" w:type="dxa"/>
          </w:tcPr>
          <w:p w:rsidR="00B46675" w:rsidRDefault="00B46675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B46675" w:rsidRDefault="00B46675" w:rsidP="002D1BF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B46675" w:rsidRDefault="00B46675" w:rsidP="002D1BF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B46675" w:rsidRPr="007D44FF" w:rsidRDefault="00B46675" w:rsidP="002D1BF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46675" w:rsidRDefault="00B46675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B46675" w:rsidRDefault="00B46675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B46675" w:rsidRDefault="00B46675" w:rsidP="002D1BF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B46675" w:rsidRDefault="00B46675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B46675" w:rsidRPr="007D44FF" w:rsidRDefault="00B46675" w:rsidP="002D1BF8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606F90">
        <w:trPr>
          <w:trHeight w:val="1408"/>
        </w:trPr>
        <w:tc>
          <w:tcPr>
            <w:tcW w:w="430" w:type="dxa"/>
          </w:tcPr>
          <w:p w:rsidR="00D51A6E" w:rsidRPr="007D44FF" w:rsidRDefault="00B46675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ua</w:t>
            </w:r>
            <w:proofErr w:type="spellEnd"/>
          </w:p>
          <w:p w:rsidR="004A6015" w:rsidRPr="000F3A54" w:rsidRDefault="00491849" w:rsidP="00A04D29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proofErr w:type="spellEnd"/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proofErr w:type="spellEnd"/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891944">
            <w:pPr>
              <w:pStyle w:val="TableParagraph"/>
              <w:spacing w:before="48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B46675" w:rsidP="002663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2663F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A16F1A" w:rsidRPr="00A16F1A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державну допомогу сім’ям з</w:t>
            </w:r>
            <w:r>
              <w:rPr>
                <w:sz w:val="28"/>
                <w:szCs w:val="28"/>
              </w:rPr>
              <w:t xml:space="preserve"> </w:t>
            </w:r>
            <w:r w:rsidRPr="00A16F1A">
              <w:rPr>
                <w:sz w:val="28"/>
                <w:szCs w:val="28"/>
              </w:rPr>
              <w:t>дітьми”;</w:t>
            </w:r>
          </w:p>
          <w:p w:rsidR="004D414D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адміністративні послуги”.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B46675" w:rsidP="002663F9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650CC">
            <w:pPr>
              <w:pStyle w:val="TableParagraph"/>
              <w:spacing w:before="48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A16F1A" w:rsidRPr="00A16F1A" w:rsidRDefault="00AB1A78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</w:t>
            </w:r>
            <w:r w:rsidR="00A04D29">
              <w:rPr>
                <w:sz w:val="28"/>
                <w:szCs w:val="28"/>
              </w:rPr>
              <w:t xml:space="preserve">   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 w:rsidR="000D339D">
              <w:rPr>
                <w:rFonts w:eastAsiaTheme="minorHAnsi"/>
                <w:sz w:val="28"/>
                <w:szCs w:val="28"/>
              </w:rPr>
              <w:t xml:space="preserve"> </w:t>
            </w:r>
            <w:r w:rsidR="00A16F1A" w:rsidRPr="00A16F1A">
              <w:rPr>
                <w:rFonts w:eastAsiaTheme="minorHAnsi"/>
                <w:sz w:val="28"/>
                <w:szCs w:val="28"/>
              </w:rPr>
              <w:t>від 27 грудня 2001</w:t>
            </w:r>
            <w:r w:rsidR="00330B0F">
              <w:rPr>
                <w:rFonts w:eastAsiaTheme="minorHAnsi"/>
                <w:sz w:val="28"/>
                <w:szCs w:val="28"/>
              </w:rPr>
              <w:t xml:space="preserve"> року №</w:t>
            </w:r>
            <w:r w:rsidR="00A16F1A">
              <w:rPr>
                <w:rFonts w:eastAsiaTheme="minorHAnsi"/>
                <w:sz w:val="28"/>
                <w:szCs w:val="28"/>
              </w:rPr>
              <w:t xml:space="preserve">1751 “Про затвердження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Порядку призначен</w:t>
            </w:r>
            <w:r w:rsidR="00A16F1A">
              <w:rPr>
                <w:rFonts w:eastAsiaTheme="minorHAnsi"/>
                <w:sz w:val="28"/>
                <w:szCs w:val="28"/>
              </w:rPr>
              <w:t xml:space="preserve">ня і виплати державної допомоги </w:t>
            </w:r>
            <w:r w:rsidR="00A16F1A" w:rsidRPr="00A16F1A">
              <w:rPr>
                <w:rFonts w:eastAsiaTheme="minorHAnsi"/>
                <w:sz w:val="28"/>
                <w:szCs w:val="28"/>
              </w:rPr>
              <w:t>сім’ям з дітьми”;</w:t>
            </w:r>
          </w:p>
          <w:p w:rsidR="004D414D" w:rsidRDefault="00A16F1A" w:rsidP="00A16F1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23 червня 2</w:t>
            </w:r>
            <w:r w:rsidR="00330B0F">
              <w:rPr>
                <w:rFonts w:eastAsiaTheme="minorHAnsi"/>
                <w:sz w:val="28"/>
                <w:szCs w:val="28"/>
              </w:rPr>
              <w:t>025 року №</w:t>
            </w:r>
            <w:r>
              <w:rPr>
                <w:rFonts w:eastAsiaTheme="minorHAnsi"/>
                <w:sz w:val="28"/>
                <w:szCs w:val="28"/>
              </w:rPr>
              <w:t xml:space="preserve">766 “Про реалізацію </w:t>
            </w:r>
            <w:r w:rsidRPr="00A16F1A">
              <w:rPr>
                <w:rFonts w:eastAsiaTheme="minorHAnsi"/>
                <w:sz w:val="28"/>
                <w:szCs w:val="28"/>
              </w:rPr>
              <w:t>експерименталь</w:t>
            </w:r>
            <w:r>
              <w:rPr>
                <w:rFonts w:eastAsiaTheme="minorHAnsi"/>
                <w:sz w:val="28"/>
                <w:szCs w:val="28"/>
              </w:rPr>
              <w:t xml:space="preserve">ного проекту щодо централізації </w:t>
            </w:r>
            <w:r w:rsidRPr="00A16F1A">
              <w:rPr>
                <w:rFonts w:eastAsiaTheme="minorHAnsi"/>
                <w:sz w:val="28"/>
                <w:szCs w:val="28"/>
              </w:rPr>
              <w:t>механізму ви</w:t>
            </w:r>
            <w:r w:rsidR="00803CAE">
              <w:rPr>
                <w:rFonts w:eastAsiaTheme="minorHAnsi"/>
                <w:sz w:val="28"/>
                <w:szCs w:val="28"/>
              </w:rPr>
              <w:t>плати деяких державних допомог”;</w:t>
            </w:r>
          </w:p>
          <w:p w:rsidR="00803CAE" w:rsidRPr="00A16F1A" w:rsidRDefault="00803CAE" w:rsidP="00803CAE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>поста</w:t>
            </w:r>
            <w:r>
              <w:rPr>
                <w:rFonts w:eastAsiaTheme="minorHAnsi"/>
                <w:sz w:val="28"/>
                <w:szCs w:val="28"/>
              </w:rPr>
              <w:t>нова Кабінету Міністрів України від 27 грудня 2018 року №</w:t>
            </w:r>
            <w:r w:rsidRPr="00803CAE">
              <w:rPr>
                <w:rFonts w:eastAsiaTheme="minorHAnsi"/>
                <w:sz w:val="28"/>
                <w:szCs w:val="28"/>
              </w:rPr>
              <w:t>161 “Про затвердження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переліку тяжки</w:t>
            </w:r>
            <w:r>
              <w:rPr>
                <w:rFonts w:eastAsiaTheme="minorHAnsi"/>
                <w:sz w:val="28"/>
                <w:szCs w:val="28"/>
              </w:rPr>
              <w:t xml:space="preserve">х захворювань, розладів, травм, </w:t>
            </w:r>
            <w:r w:rsidRPr="00803CAE">
              <w:rPr>
                <w:rFonts w:eastAsiaTheme="minorHAnsi"/>
                <w:sz w:val="28"/>
                <w:szCs w:val="28"/>
              </w:rPr>
              <w:t>станів, що даю</w:t>
            </w:r>
            <w:r>
              <w:rPr>
                <w:rFonts w:eastAsiaTheme="minorHAnsi"/>
                <w:sz w:val="28"/>
                <w:szCs w:val="28"/>
              </w:rPr>
              <w:t xml:space="preserve">ть право на одержання державної </w:t>
            </w:r>
            <w:r w:rsidRPr="00803CAE">
              <w:rPr>
                <w:rFonts w:eastAsiaTheme="minorHAnsi"/>
                <w:sz w:val="28"/>
                <w:szCs w:val="28"/>
              </w:rPr>
              <w:t>допомоги</w:t>
            </w:r>
            <w:r>
              <w:rPr>
                <w:rFonts w:eastAsiaTheme="minorHAnsi"/>
                <w:sz w:val="28"/>
                <w:szCs w:val="28"/>
              </w:rPr>
              <w:t xml:space="preserve"> на дитину, якій не встановлено </w:t>
            </w:r>
            <w:r w:rsidRPr="00803CAE">
              <w:rPr>
                <w:rFonts w:eastAsiaTheme="minorHAnsi"/>
                <w:sz w:val="28"/>
                <w:szCs w:val="28"/>
              </w:rPr>
              <w:t xml:space="preserve">інвалідність, </w:t>
            </w:r>
            <w:r>
              <w:rPr>
                <w:rFonts w:eastAsiaTheme="minorHAnsi"/>
                <w:sz w:val="28"/>
                <w:szCs w:val="28"/>
              </w:rPr>
              <w:t xml:space="preserve">надання такій дитині соціальних </w:t>
            </w:r>
            <w:r w:rsidRPr="00803CAE">
              <w:rPr>
                <w:rFonts w:eastAsiaTheme="minorHAnsi"/>
                <w:sz w:val="28"/>
                <w:szCs w:val="28"/>
              </w:rPr>
              <w:t>послуг”.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B46675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894978" w:rsidRPr="007D44FF" w:rsidRDefault="00894978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A16F1A" w:rsidP="000E7AE2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</w:t>
            </w:r>
            <w:r w:rsidRPr="00A16F1A">
              <w:rPr>
                <w:sz w:val="28"/>
                <w:szCs w:val="28"/>
              </w:rPr>
              <w:t>від 30 липня 201</w:t>
            </w:r>
            <w:r w:rsidR="00330B0F">
              <w:rPr>
                <w:sz w:val="28"/>
                <w:szCs w:val="28"/>
              </w:rPr>
              <w:t>5 року №</w:t>
            </w:r>
            <w:r>
              <w:rPr>
                <w:sz w:val="28"/>
                <w:szCs w:val="28"/>
              </w:rPr>
              <w:t xml:space="preserve">13-1 “Про організацію </w:t>
            </w:r>
            <w:r w:rsidRPr="00A16F1A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A16F1A">
              <w:rPr>
                <w:sz w:val="28"/>
                <w:szCs w:val="28"/>
              </w:rPr>
              <w:t>органів Пенсійного фонду України”, зареєстрована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9"/>
                <w:szCs w:val="29"/>
              </w:rPr>
              <w:t>Міністерстві юстиції України 18 серпня 2015 року</w:t>
            </w:r>
            <w:r>
              <w:t xml:space="preserve"> </w:t>
            </w:r>
            <w:r w:rsidR="00330B0F">
              <w:rPr>
                <w:sz w:val="29"/>
                <w:szCs w:val="29"/>
              </w:rPr>
              <w:t>за №</w:t>
            </w:r>
            <w:r>
              <w:rPr>
                <w:sz w:val="29"/>
                <w:szCs w:val="29"/>
              </w:rPr>
              <w:t>991/27436.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891944">
            <w:pPr>
              <w:pStyle w:val="TableParagraph"/>
              <w:spacing w:before="48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B46675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27684" w:rsidRPr="007D44FF" w:rsidRDefault="00FC093A" w:rsidP="00CE6AEC">
            <w:pPr>
              <w:pStyle w:val="TableParagraph"/>
              <w:spacing w:before="48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427684" w:rsidRPr="00A16F1A" w:rsidRDefault="00803CAE" w:rsidP="00803CAE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 xml:space="preserve">Один з </w:t>
            </w:r>
            <w:r>
              <w:rPr>
                <w:rFonts w:eastAsiaTheme="minorHAnsi"/>
                <w:sz w:val="28"/>
                <w:szCs w:val="28"/>
              </w:rPr>
              <w:t xml:space="preserve">батьків,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усиновлювачів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опікун, </w:t>
            </w:r>
            <w:r w:rsidRPr="00803CAE">
              <w:rPr>
                <w:rFonts w:eastAsiaTheme="minorHAnsi"/>
                <w:sz w:val="28"/>
                <w:szCs w:val="28"/>
              </w:rPr>
              <w:t>піклувальник, один із прийомних батьків, батьків-вихователів, який постійно проживає та здійснює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догляд за дитиною, хворою на один або декілька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видів таких захворювань, станів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B46675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C948D1" w:rsidRPr="007D44FF" w:rsidRDefault="00C706F3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 w:rsidR="00040E9F">
              <w:rPr>
                <w:sz w:val="28"/>
                <w:szCs w:val="28"/>
              </w:rPr>
              <w:t xml:space="preserve">головного управління Пенсійного </w:t>
            </w:r>
            <w:r w:rsidR="00040E9F" w:rsidRPr="00330B0F">
              <w:rPr>
                <w:sz w:val="28"/>
                <w:szCs w:val="28"/>
              </w:rPr>
              <w:t xml:space="preserve">фонду України в </w:t>
            </w:r>
            <w:r w:rsidR="00040E9F">
              <w:rPr>
                <w:sz w:val="28"/>
                <w:szCs w:val="28"/>
              </w:rPr>
              <w:t>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="00803CAE">
              <w:rPr>
                <w:sz w:val="28"/>
                <w:szCs w:val="28"/>
              </w:rPr>
              <w:t>міської, районної в</w:t>
            </w:r>
            <w:r w:rsidRPr="00A16F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B46675" w:rsidP="00A766A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E6AEC" w:rsidRPr="007D44FF" w:rsidRDefault="00FB584D" w:rsidP="00CE6AEC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B584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803CAE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Pr="00A16F1A">
              <w:rPr>
                <w:rFonts w:eastAsiaTheme="minorHAnsi"/>
                <w:sz w:val="28"/>
                <w:szCs w:val="28"/>
              </w:rPr>
              <w:t>відмітку в паспорті);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заява за формою, затвердженою наказом</w:t>
            </w:r>
            <w:r w:rsidR="00330B0F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Міністерства </w:t>
            </w:r>
            <w:r w:rsidR="00330B0F">
              <w:rPr>
                <w:rFonts w:eastAsiaTheme="minorHAnsi"/>
                <w:sz w:val="28"/>
                <w:szCs w:val="28"/>
              </w:rPr>
              <w:t xml:space="preserve">соціальної політики України від </w:t>
            </w:r>
            <w:r w:rsidRPr="00A16F1A">
              <w:rPr>
                <w:rFonts w:eastAsiaTheme="minorHAnsi"/>
                <w:sz w:val="28"/>
                <w:szCs w:val="28"/>
              </w:rPr>
              <w:t>09 січня 2023 ро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ку №3 “Про затвердження форми </w:t>
            </w:r>
            <w:r w:rsidRPr="00A16F1A">
              <w:rPr>
                <w:rFonts w:eastAsiaTheme="minorHAnsi"/>
                <w:sz w:val="28"/>
                <w:szCs w:val="28"/>
              </w:rPr>
              <w:t>Заяви про пр</w:t>
            </w:r>
            <w:r w:rsidR="00330B0F">
              <w:rPr>
                <w:rFonts w:eastAsiaTheme="minorHAnsi"/>
                <w:sz w:val="28"/>
                <w:szCs w:val="28"/>
              </w:rPr>
              <w:t xml:space="preserve">изначення усіх видів соціальної </w:t>
            </w:r>
            <w:r w:rsidRPr="00A16F1A">
              <w:rPr>
                <w:rFonts w:eastAsiaTheme="minorHAnsi"/>
                <w:sz w:val="28"/>
                <w:szCs w:val="28"/>
              </w:rPr>
              <w:t>допомоги та</w:t>
            </w:r>
            <w:r w:rsidR="00330B0F">
              <w:rPr>
                <w:rFonts w:eastAsiaTheme="minorHAnsi"/>
                <w:sz w:val="28"/>
                <w:szCs w:val="28"/>
              </w:rPr>
              <w:t xml:space="preserve"> компенсацій”, зареєстрованим у </w:t>
            </w:r>
            <w:r w:rsidRPr="00A16F1A">
              <w:rPr>
                <w:rFonts w:eastAsiaTheme="minorHAnsi"/>
                <w:sz w:val="28"/>
                <w:szCs w:val="28"/>
              </w:rPr>
              <w:t>Міністерстві юстиції України 23 січня 2023 року за</w:t>
            </w:r>
          </w:p>
          <w:p w:rsidR="00A16F1A" w:rsidRPr="00A16F1A" w:rsidRDefault="00330B0F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="00A16F1A" w:rsidRPr="00A16F1A">
              <w:rPr>
                <w:rFonts w:eastAsiaTheme="minorHAnsi"/>
                <w:sz w:val="28"/>
                <w:szCs w:val="28"/>
              </w:rPr>
              <w:t>145/39201;</w:t>
            </w:r>
          </w:p>
          <w:p w:rsidR="00803CAE" w:rsidRPr="00803CAE" w:rsidRDefault="00803CAE" w:rsidP="00FA4B80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>копія свідоцтва про народженн</w:t>
            </w:r>
            <w:r w:rsidR="00FA4B80">
              <w:rPr>
                <w:rFonts w:eastAsiaTheme="minorHAnsi"/>
                <w:sz w:val="28"/>
                <w:szCs w:val="28"/>
              </w:rPr>
              <w:t xml:space="preserve">я дитини (з </w:t>
            </w:r>
            <w:r w:rsidRPr="00803CAE">
              <w:rPr>
                <w:rFonts w:eastAsiaTheme="minorHAnsi"/>
                <w:sz w:val="28"/>
                <w:szCs w:val="28"/>
              </w:rPr>
              <w:t>пред’явленням оригіналу);</w:t>
            </w:r>
          </w:p>
          <w:p w:rsidR="00803CAE" w:rsidRPr="00803CAE" w:rsidRDefault="00803CAE" w:rsidP="00167D07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>докуме</w:t>
            </w:r>
            <w:r w:rsidR="00FA4B80">
              <w:rPr>
                <w:rFonts w:eastAsiaTheme="minorHAnsi"/>
                <w:sz w:val="28"/>
                <w:szCs w:val="28"/>
              </w:rPr>
              <w:t xml:space="preserve">нт, що підтверджує повноваження </w:t>
            </w:r>
            <w:proofErr w:type="spellStart"/>
            <w:r w:rsidRPr="00803CAE">
              <w:rPr>
                <w:rFonts w:eastAsiaTheme="minorHAnsi"/>
                <w:sz w:val="28"/>
                <w:szCs w:val="28"/>
              </w:rPr>
              <w:t>усиновлювача</w:t>
            </w:r>
            <w:proofErr w:type="spellEnd"/>
            <w:r w:rsidRPr="00803CAE">
              <w:rPr>
                <w:rFonts w:eastAsiaTheme="minorHAnsi"/>
                <w:sz w:val="28"/>
                <w:szCs w:val="28"/>
              </w:rPr>
              <w:t xml:space="preserve"> (копія рішення про усиновлення),</w:t>
            </w:r>
            <w:r w:rsidR="00FA4B80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опікуна, піклувальника (копія рішення районної,</w:t>
            </w:r>
            <w:r w:rsidR="00FA4B80">
              <w:rPr>
                <w:rFonts w:eastAsiaTheme="minorHAnsi"/>
                <w:sz w:val="28"/>
                <w:szCs w:val="28"/>
              </w:rPr>
              <w:t xml:space="preserve">  </w:t>
            </w:r>
            <w:proofErr w:type="spellStart"/>
            <w:r w:rsidR="00FA4B80">
              <w:rPr>
                <w:rFonts w:eastAsiaTheme="minorHAnsi"/>
                <w:sz w:val="28"/>
                <w:szCs w:val="28"/>
              </w:rPr>
              <w:t>районної</w:t>
            </w:r>
            <w:proofErr w:type="spellEnd"/>
            <w:r w:rsidR="00FA4B80">
              <w:rPr>
                <w:rFonts w:eastAsiaTheme="minorHAnsi"/>
                <w:sz w:val="28"/>
                <w:szCs w:val="28"/>
              </w:rPr>
              <w:t xml:space="preserve"> у мм. Києві та Севастополі </w:t>
            </w:r>
            <w:r w:rsidRPr="00803CAE">
              <w:rPr>
                <w:rFonts w:eastAsiaTheme="minorHAnsi"/>
                <w:sz w:val="28"/>
                <w:szCs w:val="28"/>
              </w:rPr>
              <w:t>держадміністрац</w:t>
            </w:r>
            <w:r w:rsidR="00FA4B80">
              <w:rPr>
                <w:rFonts w:eastAsiaTheme="minorHAnsi"/>
                <w:sz w:val="28"/>
                <w:szCs w:val="28"/>
              </w:rPr>
              <w:t xml:space="preserve">ії, виконавчого органу міської, </w:t>
            </w:r>
            <w:r w:rsidRPr="00803CAE">
              <w:rPr>
                <w:rFonts w:eastAsiaTheme="minorHAnsi"/>
                <w:sz w:val="28"/>
                <w:szCs w:val="28"/>
              </w:rPr>
              <w:t>районної в міст</w:t>
            </w:r>
            <w:r w:rsidR="00FA4B80">
              <w:rPr>
                <w:rFonts w:eastAsiaTheme="minorHAnsi"/>
                <w:sz w:val="28"/>
                <w:szCs w:val="28"/>
              </w:rPr>
              <w:t xml:space="preserve">і (у разі утворення), селищної, </w:t>
            </w:r>
            <w:r w:rsidRPr="00803CAE">
              <w:rPr>
                <w:rFonts w:eastAsiaTheme="minorHAnsi"/>
                <w:sz w:val="28"/>
                <w:szCs w:val="28"/>
              </w:rPr>
              <w:t>сільської ради а</w:t>
            </w:r>
            <w:r w:rsidR="00FA4B80">
              <w:rPr>
                <w:rFonts w:eastAsiaTheme="minorHAnsi"/>
                <w:sz w:val="28"/>
                <w:szCs w:val="28"/>
              </w:rPr>
              <w:t xml:space="preserve">бо суду про встановлення опіки, </w:t>
            </w:r>
            <w:r w:rsidRPr="00803CAE">
              <w:rPr>
                <w:rFonts w:eastAsiaTheme="minorHAnsi"/>
                <w:sz w:val="28"/>
                <w:szCs w:val="28"/>
              </w:rPr>
              <w:t>піклування), прийомних батьків, батьків-вихователів</w:t>
            </w:r>
            <w:r w:rsidR="00FA4B80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 xml:space="preserve">(копія рішення районної, </w:t>
            </w:r>
            <w:proofErr w:type="spellStart"/>
            <w:r w:rsidRPr="00803CAE">
              <w:rPr>
                <w:rFonts w:eastAsiaTheme="minorHAnsi"/>
                <w:sz w:val="28"/>
                <w:szCs w:val="28"/>
              </w:rPr>
              <w:t>районної</w:t>
            </w:r>
            <w:proofErr w:type="spellEnd"/>
            <w:r w:rsidRPr="00803CAE">
              <w:rPr>
                <w:rFonts w:eastAsiaTheme="minorHAnsi"/>
                <w:sz w:val="28"/>
                <w:szCs w:val="28"/>
              </w:rPr>
              <w:t xml:space="preserve"> у мм. Києві та</w:t>
            </w:r>
            <w:r w:rsidR="00FA4B80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Севастополі держадміністрації, виконавчого органу</w:t>
            </w:r>
            <w:r w:rsidR="00FA4B80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міської, районної</w:t>
            </w:r>
            <w:r w:rsidR="00167D07">
              <w:rPr>
                <w:rFonts w:eastAsiaTheme="minorHAnsi"/>
                <w:sz w:val="28"/>
                <w:szCs w:val="28"/>
              </w:rPr>
              <w:t xml:space="preserve"> у місті (у разі її утворення), </w:t>
            </w:r>
            <w:r w:rsidRPr="00803CAE">
              <w:rPr>
                <w:rFonts w:eastAsiaTheme="minorHAnsi"/>
                <w:sz w:val="28"/>
                <w:szCs w:val="28"/>
              </w:rPr>
              <w:t>селищної, сільської ради про влаштування дитини до</w:t>
            </w:r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 xml:space="preserve">дитячого будинку </w:t>
            </w:r>
            <w:r w:rsidRPr="00803CAE">
              <w:rPr>
                <w:rFonts w:eastAsiaTheme="minorHAnsi"/>
                <w:sz w:val="28"/>
                <w:szCs w:val="28"/>
              </w:rPr>
              <w:lastRenderedPageBreak/>
              <w:t>сімейного типу або прийомної</w:t>
            </w:r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сім’ї);</w:t>
            </w:r>
          </w:p>
          <w:p w:rsidR="00803CAE" w:rsidRPr="00803CAE" w:rsidRDefault="00803CAE" w:rsidP="00167D07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>довідка п</w:t>
            </w:r>
            <w:r w:rsidR="00167D07">
              <w:rPr>
                <w:rFonts w:eastAsiaTheme="minorHAnsi"/>
                <w:sz w:val="28"/>
                <w:szCs w:val="28"/>
              </w:rPr>
              <w:t xml:space="preserve">ро захворювання дитини на тяжке </w:t>
            </w:r>
            <w:proofErr w:type="spellStart"/>
            <w:r w:rsidRPr="00803CAE">
              <w:rPr>
                <w:rFonts w:eastAsiaTheme="minorHAnsi"/>
                <w:sz w:val="28"/>
                <w:szCs w:val="28"/>
              </w:rPr>
              <w:t>перинатальне</w:t>
            </w:r>
            <w:proofErr w:type="spellEnd"/>
            <w:r w:rsidRPr="00803CAE">
              <w:rPr>
                <w:rFonts w:eastAsiaTheme="minorHAnsi"/>
                <w:sz w:val="28"/>
                <w:szCs w:val="28"/>
              </w:rPr>
              <w:t xml:space="preserve"> ураження нервової системи, тяжку</w:t>
            </w:r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вроджену ваду розвитку, рідк</w:t>
            </w:r>
            <w:r w:rsidR="00167D07">
              <w:rPr>
                <w:rFonts w:eastAsiaTheme="minorHAnsi"/>
                <w:sz w:val="28"/>
                <w:szCs w:val="28"/>
              </w:rPr>
              <w:t xml:space="preserve">існе </w:t>
            </w:r>
            <w:proofErr w:type="spellStart"/>
            <w:r w:rsidR="00167D07">
              <w:rPr>
                <w:rFonts w:eastAsiaTheme="minorHAnsi"/>
                <w:sz w:val="28"/>
                <w:szCs w:val="28"/>
              </w:rPr>
              <w:t>орфанне</w:t>
            </w:r>
            <w:proofErr w:type="spellEnd"/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захворювання,</w:t>
            </w:r>
            <w:r w:rsidR="00167D07">
              <w:rPr>
                <w:rFonts w:eastAsiaTheme="minorHAnsi"/>
                <w:sz w:val="28"/>
                <w:szCs w:val="28"/>
              </w:rPr>
              <w:t xml:space="preserve"> онкологічне, </w:t>
            </w:r>
            <w:proofErr w:type="spellStart"/>
            <w:r w:rsidR="00167D07">
              <w:rPr>
                <w:rFonts w:eastAsiaTheme="minorHAnsi"/>
                <w:sz w:val="28"/>
                <w:szCs w:val="28"/>
              </w:rPr>
              <w:t>онкогематологічні</w:t>
            </w:r>
            <w:proofErr w:type="spellEnd"/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захворювання</w:t>
            </w:r>
            <w:r w:rsidR="00167D07">
              <w:rPr>
                <w:rFonts w:eastAsiaTheme="minorHAnsi"/>
                <w:sz w:val="28"/>
                <w:szCs w:val="28"/>
              </w:rPr>
              <w:t xml:space="preserve">, дитячий церебральний параліч, </w:t>
            </w:r>
            <w:r w:rsidRPr="00803CAE">
              <w:rPr>
                <w:rFonts w:eastAsiaTheme="minorHAnsi"/>
                <w:sz w:val="28"/>
                <w:szCs w:val="28"/>
              </w:rPr>
              <w:t>тяжкий психічний розлад, цукровий діабет I типу</w:t>
            </w:r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(інсулін</w:t>
            </w:r>
            <w:r w:rsidR="00167D07">
              <w:rPr>
                <w:rFonts w:eastAsiaTheme="minorHAnsi"/>
                <w:sz w:val="28"/>
                <w:szCs w:val="28"/>
              </w:rPr>
              <w:t xml:space="preserve">озалежний), гостре або хронічне </w:t>
            </w:r>
            <w:r w:rsidRPr="00803CAE">
              <w:rPr>
                <w:rFonts w:eastAsiaTheme="minorHAnsi"/>
                <w:sz w:val="28"/>
                <w:szCs w:val="28"/>
              </w:rPr>
              <w:t>захворювання нирок IV ступеня, про те, що дитина</w:t>
            </w:r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отримала тяжку травму, потребує трансплантації</w:t>
            </w:r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органа, потреб</w:t>
            </w:r>
            <w:r w:rsidR="00167D07">
              <w:rPr>
                <w:rFonts w:eastAsiaTheme="minorHAnsi"/>
                <w:sz w:val="28"/>
                <w:szCs w:val="28"/>
              </w:rPr>
              <w:t xml:space="preserve">ує паліативної допомоги, видана </w:t>
            </w:r>
            <w:r w:rsidRPr="00803CAE">
              <w:rPr>
                <w:rFonts w:eastAsiaTheme="minorHAnsi"/>
                <w:sz w:val="28"/>
                <w:szCs w:val="28"/>
              </w:rPr>
              <w:t>лікарсько-консультативною комісією лікувально-профілакт</w:t>
            </w:r>
            <w:r w:rsidR="00167D07">
              <w:rPr>
                <w:rFonts w:eastAsiaTheme="minorHAnsi"/>
                <w:sz w:val="28"/>
                <w:szCs w:val="28"/>
              </w:rPr>
              <w:t>ичного закладу (форма первинної облікової документації №</w:t>
            </w:r>
            <w:r w:rsidRPr="00803CAE">
              <w:rPr>
                <w:rFonts w:eastAsiaTheme="minorHAnsi"/>
                <w:sz w:val="28"/>
                <w:szCs w:val="28"/>
              </w:rPr>
              <w:t>080-3/о, затверджена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наказом Мі</w:t>
            </w:r>
            <w:r w:rsidR="00167D07">
              <w:rPr>
                <w:rFonts w:eastAsiaTheme="minorHAnsi"/>
                <w:sz w:val="28"/>
                <w:szCs w:val="28"/>
              </w:rPr>
              <w:t xml:space="preserve">ністерства охорони здоров’я від </w:t>
            </w:r>
            <w:r w:rsidRPr="00803CAE">
              <w:rPr>
                <w:rFonts w:eastAsiaTheme="minorHAnsi"/>
                <w:sz w:val="28"/>
                <w:szCs w:val="28"/>
              </w:rPr>
              <w:t xml:space="preserve">09 </w:t>
            </w:r>
            <w:r w:rsidR="00167D07">
              <w:rPr>
                <w:rFonts w:eastAsiaTheme="minorHAnsi"/>
                <w:sz w:val="28"/>
                <w:szCs w:val="28"/>
              </w:rPr>
              <w:t xml:space="preserve">березня 2021 року №407, зареєстрованим в </w:t>
            </w:r>
            <w:r w:rsidRPr="00803CAE">
              <w:rPr>
                <w:rFonts w:eastAsiaTheme="minorHAnsi"/>
                <w:sz w:val="28"/>
                <w:szCs w:val="28"/>
              </w:rPr>
              <w:t>Міністерстві юстиції</w:t>
            </w:r>
            <w:r w:rsidR="00167D07">
              <w:rPr>
                <w:rFonts w:eastAsiaTheme="minorHAnsi"/>
                <w:sz w:val="28"/>
                <w:szCs w:val="28"/>
              </w:rPr>
              <w:t xml:space="preserve"> України 15 квітня 2021 року за №</w:t>
            </w:r>
            <w:r w:rsidRPr="00803CAE">
              <w:rPr>
                <w:rFonts w:eastAsiaTheme="minorHAnsi"/>
                <w:sz w:val="28"/>
                <w:szCs w:val="28"/>
              </w:rPr>
              <w:t>510/36132).</w:t>
            </w:r>
          </w:p>
          <w:p w:rsidR="00803CAE" w:rsidRPr="00803CAE" w:rsidRDefault="00803CAE" w:rsidP="00167D07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>За наявності письмової заяви особи, яка</w:t>
            </w:r>
            <w:r w:rsidR="00167D07">
              <w:rPr>
                <w:rFonts w:eastAsiaTheme="minorHAnsi"/>
                <w:sz w:val="28"/>
                <w:szCs w:val="28"/>
              </w:rPr>
              <w:t xml:space="preserve"> </w:t>
            </w:r>
            <w:r w:rsidRPr="00803CAE">
              <w:rPr>
                <w:rFonts w:eastAsiaTheme="minorHAnsi"/>
                <w:sz w:val="28"/>
                <w:szCs w:val="28"/>
              </w:rPr>
              <w:t>претендує на призначення допомоги, але за станом</w:t>
            </w:r>
          </w:p>
          <w:p w:rsidR="00803CAE" w:rsidRPr="00803CAE" w:rsidRDefault="00803CAE" w:rsidP="00803CA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>здоров’я або з інших поважних причин (догляд за</w:t>
            </w:r>
          </w:p>
          <w:p w:rsidR="00803CAE" w:rsidRPr="00803CAE" w:rsidRDefault="00803CAE" w:rsidP="00803CA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 xml:space="preserve">особою з </w:t>
            </w:r>
            <w:r w:rsidR="00167D07">
              <w:rPr>
                <w:rFonts w:eastAsiaTheme="minorHAnsi"/>
                <w:sz w:val="28"/>
                <w:szCs w:val="28"/>
              </w:rPr>
              <w:t xml:space="preserve">інвалідністю I групи, дитиною з </w:t>
            </w:r>
            <w:r w:rsidRPr="00803CAE">
              <w:rPr>
                <w:rFonts w:eastAsiaTheme="minorHAnsi"/>
                <w:sz w:val="28"/>
                <w:szCs w:val="28"/>
              </w:rPr>
              <w:t xml:space="preserve">інвалідністю </w:t>
            </w:r>
            <w:r w:rsidR="00167D07">
              <w:rPr>
                <w:rFonts w:eastAsiaTheme="minorHAnsi"/>
                <w:sz w:val="28"/>
                <w:szCs w:val="28"/>
              </w:rPr>
              <w:t xml:space="preserve">віком до 18 років тощо) не може </w:t>
            </w:r>
            <w:r w:rsidRPr="00803CAE">
              <w:rPr>
                <w:rFonts w:eastAsiaTheme="minorHAnsi"/>
                <w:sz w:val="28"/>
                <w:szCs w:val="28"/>
              </w:rPr>
              <w:t>особисто зі</w:t>
            </w:r>
            <w:r w:rsidR="00167D07">
              <w:rPr>
                <w:rFonts w:eastAsiaTheme="minorHAnsi"/>
                <w:sz w:val="28"/>
                <w:szCs w:val="28"/>
              </w:rPr>
              <w:t xml:space="preserve">брати необхідні документи, збір </w:t>
            </w:r>
            <w:r w:rsidRPr="00803CAE">
              <w:rPr>
                <w:rFonts w:eastAsiaTheme="minorHAnsi"/>
                <w:sz w:val="28"/>
                <w:szCs w:val="28"/>
              </w:rPr>
              <w:t>зазначених документів покладається на органи, що</w:t>
            </w:r>
          </w:p>
          <w:p w:rsidR="00642427" w:rsidRPr="007D44FF" w:rsidRDefault="00803CAE" w:rsidP="00803CAE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803CAE">
              <w:rPr>
                <w:rFonts w:eastAsiaTheme="minorHAnsi"/>
                <w:sz w:val="28"/>
                <w:szCs w:val="28"/>
              </w:rPr>
              <w:t>призначають допомогу</w:t>
            </w:r>
            <w:r w:rsidR="00167D07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3812"/>
        </w:trPr>
        <w:tc>
          <w:tcPr>
            <w:tcW w:w="449" w:type="dxa"/>
            <w:gridSpan w:val="2"/>
          </w:tcPr>
          <w:p w:rsidR="00205250" w:rsidRPr="007D44FF" w:rsidRDefault="00AB0EC5" w:rsidP="00B4667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B4667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1DF8" w:rsidRPr="007D44FF" w:rsidRDefault="00EC1DF8" w:rsidP="00167D07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167D07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167D0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0B0F" w:rsidRPr="00330B0F" w:rsidRDefault="00330B0F" w:rsidP="00167D07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У паперовій фо</w:t>
            </w:r>
            <w:r>
              <w:rPr>
                <w:sz w:val="28"/>
                <w:szCs w:val="28"/>
              </w:rPr>
              <w:t xml:space="preserve">рмі при особистому зверненні до </w:t>
            </w:r>
            <w:r w:rsidRPr="00330B0F">
              <w:rPr>
                <w:sz w:val="28"/>
                <w:szCs w:val="28"/>
              </w:rPr>
              <w:t>сервісних центрі</w:t>
            </w:r>
            <w:r>
              <w:rPr>
                <w:sz w:val="28"/>
                <w:szCs w:val="28"/>
              </w:rPr>
              <w:t xml:space="preserve">в головного управління Пенсійного </w:t>
            </w:r>
            <w:r w:rsidRPr="00330B0F">
              <w:rPr>
                <w:sz w:val="28"/>
                <w:szCs w:val="28"/>
              </w:rPr>
              <w:t xml:space="preserve">фонду України в </w:t>
            </w:r>
            <w:r>
              <w:rPr>
                <w:sz w:val="28"/>
                <w:szCs w:val="28"/>
              </w:rPr>
              <w:t xml:space="preserve">Хмельницькій області, виконавчого </w:t>
            </w:r>
            <w:r w:rsidRPr="00330B0F">
              <w:rPr>
                <w:sz w:val="28"/>
                <w:szCs w:val="28"/>
              </w:rPr>
              <w:t>органу сільської, сели</w:t>
            </w:r>
            <w:r>
              <w:rPr>
                <w:sz w:val="28"/>
                <w:szCs w:val="28"/>
              </w:rPr>
              <w:t xml:space="preserve">щної, міської, районної в місті </w:t>
            </w:r>
            <w:r w:rsidRPr="00330B0F">
              <w:rPr>
                <w:sz w:val="28"/>
                <w:szCs w:val="28"/>
              </w:rPr>
              <w:t>(у разі у</w:t>
            </w:r>
            <w:r>
              <w:rPr>
                <w:sz w:val="28"/>
                <w:szCs w:val="28"/>
              </w:rPr>
              <w:t xml:space="preserve">творення) ради, центрів надання </w:t>
            </w:r>
            <w:r w:rsidRPr="00330B0F">
              <w:rPr>
                <w:sz w:val="28"/>
                <w:szCs w:val="28"/>
              </w:rPr>
              <w:t>адміністративних послуг;</w:t>
            </w:r>
          </w:p>
          <w:p w:rsidR="00330B0F" w:rsidRPr="00330B0F" w:rsidRDefault="00330B0F" w:rsidP="00167D07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засобам</w:t>
            </w:r>
            <w:r>
              <w:rPr>
                <w:sz w:val="28"/>
                <w:szCs w:val="28"/>
              </w:rPr>
              <w:t>и поштового зв’язку до головного управління</w:t>
            </w:r>
            <w:r w:rsidRPr="00330B0F">
              <w:rPr>
                <w:sz w:val="28"/>
                <w:szCs w:val="28"/>
              </w:rPr>
              <w:t xml:space="preserve"> Пенсійного фонду України в </w:t>
            </w:r>
            <w:r>
              <w:rPr>
                <w:sz w:val="28"/>
                <w:szCs w:val="28"/>
              </w:rPr>
              <w:t>Хмельницькій області</w:t>
            </w:r>
            <w:r w:rsidRPr="00330B0F">
              <w:rPr>
                <w:sz w:val="28"/>
                <w:szCs w:val="28"/>
              </w:rPr>
              <w:t>;</w:t>
            </w:r>
          </w:p>
          <w:p w:rsidR="00C00D11" w:rsidRPr="007D44FF" w:rsidRDefault="00330B0F" w:rsidP="00167D07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в ел</w:t>
            </w:r>
            <w:r>
              <w:rPr>
                <w:sz w:val="28"/>
                <w:szCs w:val="28"/>
              </w:rPr>
              <w:t xml:space="preserve">ектронній формі через </w:t>
            </w:r>
            <w:proofErr w:type="spellStart"/>
            <w:r>
              <w:rPr>
                <w:sz w:val="28"/>
                <w:szCs w:val="28"/>
              </w:rPr>
              <w:t>вебпортал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30B0F">
              <w:rPr>
                <w:sz w:val="28"/>
                <w:szCs w:val="28"/>
              </w:rPr>
              <w:t>електронних послу</w:t>
            </w:r>
            <w:r>
              <w:rPr>
                <w:sz w:val="28"/>
                <w:szCs w:val="28"/>
              </w:rPr>
              <w:t xml:space="preserve">г, мобільний додаток Пенсійного </w:t>
            </w:r>
            <w:r w:rsidRPr="00330B0F">
              <w:rPr>
                <w:sz w:val="28"/>
                <w:szCs w:val="28"/>
              </w:rPr>
              <w:t>фонду України</w:t>
            </w:r>
            <w:r w:rsidR="00AC3E05">
              <w:rPr>
                <w:sz w:val="28"/>
                <w:szCs w:val="28"/>
              </w:rPr>
              <w:t xml:space="preserve"> або Єдиний державний </w:t>
            </w:r>
            <w:proofErr w:type="spellStart"/>
            <w:r w:rsidR="00AC3E05">
              <w:rPr>
                <w:sz w:val="28"/>
                <w:szCs w:val="28"/>
              </w:rPr>
              <w:t>вебпортал</w:t>
            </w:r>
            <w:proofErr w:type="spellEnd"/>
            <w:r w:rsidR="00AC3E05">
              <w:rPr>
                <w:sz w:val="28"/>
                <w:szCs w:val="28"/>
              </w:rPr>
              <w:t xml:space="preserve"> </w:t>
            </w:r>
            <w:r w:rsidRPr="00330B0F">
              <w:rPr>
                <w:sz w:val="28"/>
                <w:szCs w:val="28"/>
              </w:rPr>
              <w:t>електронних п</w:t>
            </w:r>
            <w:r w:rsidR="00AC3E05">
              <w:rPr>
                <w:sz w:val="28"/>
                <w:szCs w:val="28"/>
              </w:rPr>
              <w:t xml:space="preserve">ослуг (Портал Дія) або засобами </w:t>
            </w:r>
            <w:r w:rsidRPr="00330B0F">
              <w:rPr>
                <w:sz w:val="28"/>
                <w:szCs w:val="28"/>
              </w:rPr>
              <w:t>Соціального</w:t>
            </w:r>
            <w:r w:rsidR="00167D07">
              <w:rPr>
                <w:sz w:val="28"/>
                <w:szCs w:val="28"/>
              </w:rPr>
              <w:t xml:space="preserve"> </w:t>
            </w:r>
            <w:proofErr w:type="spellStart"/>
            <w:r w:rsidR="00167D07">
              <w:rPr>
                <w:sz w:val="28"/>
                <w:szCs w:val="28"/>
              </w:rPr>
              <w:t>веб</w:t>
            </w:r>
            <w:r w:rsidR="00AC3E05">
              <w:rPr>
                <w:sz w:val="28"/>
                <w:szCs w:val="28"/>
              </w:rPr>
              <w:t>порталу</w:t>
            </w:r>
            <w:proofErr w:type="spellEnd"/>
            <w:r w:rsidR="00AC3E05">
              <w:rPr>
                <w:sz w:val="28"/>
                <w:szCs w:val="28"/>
              </w:rPr>
              <w:t xml:space="preserve"> електронних послуг </w:t>
            </w:r>
            <w:proofErr w:type="spellStart"/>
            <w:r w:rsidRPr="00330B0F">
              <w:rPr>
                <w:sz w:val="28"/>
                <w:szCs w:val="28"/>
              </w:rPr>
              <w:t>Мінсоцполітик</w:t>
            </w:r>
            <w:r w:rsidR="00AC3E05">
              <w:rPr>
                <w:sz w:val="28"/>
                <w:szCs w:val="28"/>
              </w:rPr>
              <w:t>и</w:t>
            </w:r>
            <w:proofErr w:type="spellEnd"/>
            <w:r w:rsidR="00AC3E05">
              <w:rPr>
                <w:sz w:val="28"/>
                <w:szCs w:val="28"/>
              </w:rPr>
              <w:t xml:space="preserve"> з накладенням кваліфікованого </w:t>
            </w:r>
            <w:r w:rsidRPr="00330B0F">
              <w:rPr>
                <w:sz w:val="28"/>
                <w:szCs w:val="28"/>
              </w:rPr>
              <w:t>електронного підпису, або удоск</w:t>
            </w:r>
            <w:r w:rsidR="00AC3E05">
              <w:rPr>
                <w:sz w:val="28"/>
                <w:szCs w:val="28"/>
              </w:rPr>
              <w:t xml:space="preserve">оналеного </w:t>
            </w:r>
            <w:r w:rsidRPr="00330B0F">
              <w:rPr>
                <w:sz w:val="28"/>
                <w:szCs w:val="28"/>
              </w:rPr>
              <w:t>електр</w:t>
            </w:r>
            <w:r w:rsidR="00AC3E05">
              <w:rPr>
                <w:sz w:val="28"/>
                <w:szCs w:val="28"/>
              </w:rPr>
              <w:t xml:space="preserve">онного підпису, що базується на </w:t>
            </w:r>
            <w:r w:rsidRPr="00330B0F">
              <w:rPr>
                <w:sz w:val="28"/>
                <w:szCs w:val="28"/>
              </w:rPr>
              <w:t>кваліфікованому с</w:t>
            </w:r>
            <w:r w:rsidR="00AC3E05">
              <w:rPr>
                <w:sz w:val="28"/>
                <w:szCs w:val="28"/>
              </w:rPr>
              <w:t xml:space="preserve">ертифікаті електронного підпису </w:t>
            </w:r>
            <w:r w:rsidRPr="00330B0F">
              <w:rPr>
                <w:sz w:val="28"/>
                <w:szCs w:val="28"/>
              </w:rPr>
              <w:t>(за технічної можливості).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B46675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B46675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806F8C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C00D11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B46675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46675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05250" w:rsidRPr="007D44FF" w:rsidRDefault="006D10A2" w:rsidP="00A04503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Заява про призначення допомоги розглядається</w:t>
            </w:r>
          </w:p>
          <w:p w:rsidR="00205250" w:rsidRPr="007D44FF" w:rsidRDefault="00AC3E05" w:rsidP="000E7AE2">
            <w:pPr>
              <w:pStyle w:val="TableParagraph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не пізніше ніж протяг</w:t>
            </w:r>
            <w:r>
              <w:rPr>
                <w:sz w:val="28"/>
                <w:szCs w:val="28"/>
              </w:rPr>
              <w:t xml:space="preserve">ом 10 днів після її надходження </w:t>
            </w:r>
            <w:r w:rsidRPr="00AC3E05">
              <w:rPr>
                <w:sz w:val="28"/>
                <w:szCs w:val="28"/>
              </w:rPr>
              <w:t>з усіма необхідним</w:t>
            </w:r>
            <w:r>
              <w:rPr>
                <w:sz w:val="28"/>
                <w:szCs w:val="28"/>
              </w:rPr>
              <w:t xml:space="preserve">и документами та/або </w:t>
            </w:r>
            <w:r w:rsidRPr="00AC3E05">
              <w:rPr>
                <w:sz w:val="28"/>
                <w:szCs w:val="28"/>
              </w:rPr>
              <w:t>відомостями.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B46675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46675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D10A2">
            <w:pPr>
              <w:pStyle w:val="TableParagraph"/>
              <w:spacing w:before="48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167D07" w:rsidRPr="00167D07" w:rsidRDefault="00167D07" w:rsidP="00167D07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167D07">
              <w:rPr>
                <w:sz w:val="28"/>
                <w:szCs w:val="28"/>
              </w:rPr>
              <w:t>Дитині встановлено інвалідність;</w:t>
            </w:r>
          </w:p>
          <w:p w:rsidR="007A34CD" w:rsidRDefault="00167D07" w:rsidP="00167D07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167D07">
              <w:rPr>
                <w:sz w:val="28"/>
                <w:szCs w:val="28"/>
              </w:rPr>
              <w:t>досягнення дитиною 18 років</w:t>
            </w:r>
            <w:r>
              <w:rPr>
                <w:sz w:val="28"/>
                <w:szCs w:val="28"/>
              </w:rPr>
              <w:t>;</w:t>
            </w:r>
          </w:p>
          <w:p w:rsidR="00167D07" w:rsidRPr="00167D07" w:rsidRDefault="00167D07" w:rsidP="00167D07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167D07">
              <w:rPr>
                <w:sz w:val="28"/>
                <w:szCs w:val="28"/>
              </w:rPr>
              <w:t>дити</w:t>
            </w:r>
            <w:r>
              <w:rPr>
                <w:sz w:val="28"/>
                <w:szCs w:val="28"/>
              </w:rPr>
              <w:t xml:space="preserve">ну влаштовано на повне державне </w:t>
            </w:r>
            <w:r w:rsidRPr="00167D07">
              <w:rPr>
                <w:sz w:val="28"/>
                <w:szCs w:val="28"/>
              </w:rPr>
              <w:t>утримання;</w:t>
            </w:r>
          </w:p>
          <w:p w:rsidR="00167D07" w:rsidRPr="00167D07" w:rsidRDefault="00167D07" w:rsidP="00167D07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167D07">
              <w:rPr>
                <w:sz w:val="28"/>
                <w:szCs w:val="28"/>
              </w:rPr>
              <w:t>скасування ріш</w:t>
            </w:r>
            <w:r>
              <w:rPr>
                <w:sz w:val="28"/>
                <w:szCs w:val="28"/>
              </w:rPr>
              <w:t xml:space="preserve">ення про усиновлення дитини або </w:t>
            </w:r>
            <w:r w:rsidRPr="00167D07">
              <w:rPr>
                <w:sz w:val="28"/>
                <w:szCs w:val="28"/>
              </w:rPr>
              <w:t>визнання його недійсним;</w:t>
            </w:r>
          </w:p>
          <w:p w:rsidR="00167D07" w:rsidRPr="00167D07" w:rsidRDefault="00167D07" w:rsidP="00167D07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167D07">
              <w:rPr>
                <w:sz w:val="28"/>
                <w:szCs w:val="28"/>
              </w:rPr>
              <w:t>звільнення опік</w:t>
            </w:r>
            <w:r>
              <w:rPr>
                <w:sz w:val="28"/>
                <w:szCs w:val="28"/>
              </w:rPr>
              <w:t xml:space="preserve">уна чи піклувальника дитини від </w:t>
            </w:r>
            <w:r w:rsidRPr="00167D07">
              <w:rPr>
                <w:sz w:val="28"/>
                <w:szCs w:val="28"/>
              </w:rPr>
              <w:t>виконання їх обов’язків;</w:t>
            </w:r>
          </w:p>
          <w:p w:rsidR="00167D07" w:rsidRPr="00AC3E05" w:rsidRDefault="00167D07" w:rsidP="00167D07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167D07">
              <w:rPr>
                <w:sz w:val="28"/>
                <w:szCs w:val="28"/>
              </w:rPr>
              <w:t>виявлення в п</w:t>
            </w:r>
            <w:r>
              <w:rPr>
                <w:sz w:val="28"/>
                <w:szCs w:val="28"/>
              </w:rPr>
              <w:t xml:space="preserve">оданих документах недостовірних </w:t>
            </w:r>
            <w:r w:rsidRPr="00167D07">
              <w:rPr>
                <w:sz w:val="28"/>
                <w:szCs w:val="28"/>
              </w:rPr>
              <w:t>відомостей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B46675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46675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E248C" w:rsidRPr="007D44FF" w:rsidRDefault="002E248C" w:rsidP="002E248C">
            <w:pPr>
              <w:pStyle w:val="TableParagraph"/>
              <w:spacing w:before="48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2E248C">
            <w:pPr>
              <w:pStyle w:val="TableParagraph"/>
              <w:spacing w:before="48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</w:t>
            </w:r>
            <w:r>
              <w:rPr>
                <w:sz w:val="28"/>
                <w:szCs w:val="28"/>
              </w:rPr>
              <w:t xml:space="preserve">енсійного фонду України приймає </w:t>
            </w:r>
            <w:r w:rsidRPr="00AC3E05">
              <w:rPr>
                <w:sz w:val="28"/>
                <w:szCs w:val="28"/>
              </w:rPr>
              <w:t>рішення про п</w:t>
            </w:r>
            <w:r>
              <w:rPr>
                <w:sz w:val="28"/>
                <w:szCs w:val="28"/>
              </w:rPr>
              <w:t xml:space="preserve">ризначення допомоги / відмову у </w:t>
            </w:r>
            <w:r w:rsidRPr="00AC3E05">
              <w:rPr>
                <w:sz w:val="28"/>
                <w:szCs w:val="28"/>
              </w:rPr>
              <w:t>наданні допомоги.</w:t>
            </w:r>
          </w:p>
          <w:p w:rsidR="00205250" w:rsidRPr="007D44FF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У разі коли д</w:t>
            </w:r>
            <w:r>
              <w:rPr>
                <w:sz w:val="28"/>
                <w:szCs w:val="28"/>
              </w:rPr>
              <w:t xml:space="preserve">о заяви не додані всі необхідні </w:t>
            </w:r>
            <w:r w:rsidRPr="00AC3E05">
              <w:rPr>
                <w:sz w:val="28"/>
                <w:szCs w:val="28"/>
              </w:rPr>
              <w:t>документи та/або ві</w:t>
            </w:r>
            <w:r>
              <w:rPr>
                <w:sz w:val="28"/>
                <w:szCs w:val="28"/>
              </w:rPr>
              <w:t xml:space="preserve">домості, орган Пенсійного фонду </w:t>
            </w:r>
            <w:r w:rsidRPr="00AC3E05">
              <w:rPr>
                <w:sz w:val="28"/>
                <w:szCs w:val="28"/>
              </w:rPr>
              <w:t>України повідомляє заявника, які док</w:t>
            </w:r>
            <w:r>
              <w:rPr>
                <w:sz w:val="28"/>
                <w:szCs w:val="28"/>
              </w:rPr>
              <w:t xml:space="preserve">ументи та/або </w:t>
            </w:r>
            <w:r w:rsidRPr="00AC3E05">
              <w:rPr>
                <w:sz w:val="28"/>
                <w:szCs w:val="28"/>
              </w:rPr>
              <w:t>відомості мають бути подані додатково. Якщо вони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 xml:space="preserve">будуть подані не пізніше </w:t>
            </w:r>
            <w:r>
              <w:rPr>
                <w:sz w:val="28"/>
                <w:szCs w:val="28"/>
              </w:rPr>
              <w:t xml:space="preserve">ніж протягом одного місяця </w:t>
            </w:r>
            <w:r w:rsidRPr="00AC3E05">
              <w:rPr>
                <w:sz w:val="28"/>
                <w:szCs w:val="28"/>
              </w:rPr>
              <w:t>з дня одержання</w:t>
            </w:r>
            <w:r>
              <w:rPr>
                <w:sz w:val="28"/>
                <w:szCs w:val="28"/>
              </w:rPr>
              <w:t xml:space="preserve"> зазначеного повідомлення, днем </w:t>
            </w:r>
            <w:r w:rsidRPr="00AC3E05">
              <w:rPr>
                <w:sz w:val="28"/>
                <w:szCs w:val="28"/>
              </w:rPr>
              <w:t>(місяцем) зве</w:t>
            </w:r>
            <w:r>
              <w:rPr>
                <w:sz w:val="28"/>
                <w:szCs w:val="28"/>
              </w:rPr>
              <w:t xml:space="preserve">рнення за призначенням допомоги </w:t>
            </w:r>
            <w:r w:rsidRPr="00AC3E05">
              <w:rPr>
                <w:sz w:val="28"/>
                <w:szCs w:val="28"/>
              </w:rPr>
              <w:t>вважаєт</w:t>
            </w:r>
            <w:r>
              <w:rPr>
                <w:sz w:val="28"/>
                <w:szCs w:val="28"/>
              </w:rPr>
              <w:t xml:space="preserve">ься день (місяць) прийняття або </w:t>
            </w:r>
            <w:r w:rsidRPr="00AC3E05">
              <w:rPr>
                <w:sz w:val="28"/>
                <w:szCs w:val="28"/>
              </w:rPr>
              <w:t>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B46675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46675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05250" w:rsidRPr="007D44FF" w:rsidRDefault="00205250" w:rsidP="00606F90">
            <w:pPr>
              <w:pStyle w:val="TableParagraph"/>
              <w:spacing w:before="48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Пенсійно</w:t>
            </w:r>
            <w:r>
              <w:rPr>
                <w:sz w:val="28"/>
                <w:szCs w:val="28"/>
              </w:rPr>
              <w:t xml:space="preserve">го фонду України повідомляє про </w:t>
            </w:r>
            <w:r w:rsidRPr="00AC3E05">
              <w:rPr>
                <w:sz w:val="28"/>
                <w:szCs w:val="28"/>
              </w:rPr>
              <w:t>прийняте ріше</w:t>
            </w:r>
            <w:r>
              <w:rPr>
                <w:sz w:val="28"/>
                <w:szCs w:val="28"/>
              </w:rPr>
              <w:t xml:space="preserve">ння невідкладно, а за наявності </w:t>
            </w:r>
            <w:r w:rsidRPr="00AC3E05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причин – не більш як через три </w:t>
            </w:r>
            <w:r w:rsidRPr="00AC3E05">
              <w:rPr>
                <w:sz w:val="28"/>
                <w:szCs w:val="28"/>
              </w:rPr>
              <w:t>робочі дні з дня прийняття відповідного рішення,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шляхом надсилан</w:t>
            </w:r>
            <w:r>
              <w:rPr>
                <w:sz w:val="28"/>
                <w:szCs w:val="28"/>
              </w:rPr>
              <w:t xml:space="preserve">ня повідомлення у паперовій або </w:t>
            </w:r>
            <w:r w:rsidRPr="00AC3E05">
              <w:rPr>
                <w:sz w:val="28"/>
                <w:szCs w:val="28"/>
              </w:rPr>
              <w:t>електронній формі (</w:t>
            </w:r>
            <w:r>
              <w:rPr>
                <w:sz w:val="28"/>
                <w:szCs w:val="28"/>
              </w:rPr>
              <w:t xml:space="preserve">за наявності адреси електронної </w:t>
            </w:r>
            <w:r w:rsidRPr="00AC3E05">
              <w:rPr>
                <w:sz w:val="28"/>
                <w:szCs w:val="28"/>
              </w:rPr>
              <w:t>пошти).</w:t>
            </w:r>
          </w:p>
          <w:p w:rsidR="00806F8C" w:rsidRPr="007D44FF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Якщо заява з</w:t>
            </w:r>
            <w:r>
              <w:rPr>
                <w:sz w:val="28"/>
                <w:szCs w:val="28"/>
              </w:rPr>
              <w:t xml:space="preserve"> необхідними документами та/або </w:t>
            </w:r>
            <w:r w:rsidRPr="00AC3E05">
              <w:rPr>
                <w:sz w:val="28"/>
                <w:szCs w:val="28"/>
              </w:rPr>
              <w:t xml:space="preserve">відомостями </w:t>
            </w:r>
            <w:r>
              <w:rPr>
                <w:sz w:val="28"/>
                <w:szCs w:val="28"/>
              </w:rPr>
              <w:t xml:space="preserve">були подані через центр надання </w:t>
            </w:r>
            <w:r w:rsidRPr="00AC3E05">
              <w:rPr>
                <w:sz w:val="28"/>
                <w:szCs w:val="28"/>
              </w:rPr>
              <w:t>адміністративних</w:t>
            </w:r>
            <w:r>
              <w:rPr>
                <w:sz w:val="28"/>
                <w:szCs w:val="28"/>
              </w:rPr>
              <w:t xml:space="preserve"> послуг, орган Пенсійного фонду </w:t>
            </w:r>
            <w:r w:rsidRPr="00AC3E05">
              <w:rPr>
                <w:sz w:val="28"/>
                <w:szCs w:val="28"/>
              </w:rPr>
              <w:t>України інформує</w:t>
            </w:r>
            <w:r>
              <w:rPr>
                <w:sz w:val="28"/>
                <w:szCs w:val="28"/>
              </w:rPr>
              <w:t xml:space="preserve"> центр надання адміністративних </w:t>
            </w:r>
            <w:r w:rsidRPr="00AC3E05">
              <w:rPr>
                <w:sz w:val="28"/>
                <w:szCs w:val="28"/>
              </w:rPr>
              <w:t>послуг про прийняте рішення п</w:t>
            </w:r>
            <w:r>
              <w:rPr>
                <w:sz w:val="28"/>
                <w:szCs w:val="28"/>
              </w:rPr>
              <w:t xml:space="preserve">ротягом трьох </w:t>
            </w:r>
            <w:r w:rsidRPr="00AC3E05">
              <w:rPr>
                <w:sz w:val="28"/>
                <w:szCs w:val="28"/>
              </w:rPr>
              <w:t>робочих днів з дня прийняття рішення</w:t>
            </w:r>
            <w:r w:rsidR="000E7AE2">
              <w:rPr>
                <w:sz w:val="28"/>
                <w:szCs w:val="28"/>
              </w:rPr>
              <w:t>.</w:t>
            </w:r>
          </w:p>
        </w:tc>
      </w:tr>
    </w:tbl>
    <w:p w:rsidR="001204FC" w:rsidRPr="007D44FF" w:rsidRDefault="001204FC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Pr="007D44FF" w:rsidRDefault="008D5305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RPr="007D44FF" w:rsidSect="00205250">
      <w:headerReference w:type="default" r:id="rId9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47" w:rsidRDefault="00082647">
      <w:r>
        <w:separator/>
      </w:r>
    </w:p>
  </w:endnote>
  <w:endnote w:type="continuationSeparator" w:id="0">
    <w:p w:rsidR="00082647" w:rsidRDefault="0008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47" w:rsidRDefault="00082647">
      <w:r>
        <w:separator/>
      </w:r>
    </w:p>
  </w:footnote>
  <w:footnote w:type="continuationSeparator" w:id="0">
    <w:p w:rsidR="00082647" w:rsidRDefault="0008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167D07" w:rsidRDefault="00167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A3" w:rsidRPr="00C723A3">
          <w:rPr>
            <w:noProof/>
            <w:lang w:val="ru-RU"/>
          </w:rPr>
          <w:t>8</w:t>
        </w:r>
        <w:r>
          <w:fldChar w:fldCharType="end"/>
        </w:r>
      </w:p>
    </w:sdtContent>
  </w:sdt>
  <w:p w:rsidR="00167D07" w:rsidRDefault="00167D07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40E9F"/>
    <w:rsid w:val="00051AFD"/>
    <w:rsid w:val="00064DE9"/>
    <w:rsid w:val="00067BEB"/>
    <w:rsid w:val="00082647"/>
    <w:rsid w:val="00096AA3"/>
    <w:rsid w:val="00097260"/>
    <w:rsid w:val="000A74A9"/>
    <w:rsid w:val="000C35BD"/>
    <w:rsid w:val="000C7456"/>
    <w:rsid w:val="000D339D"/>
    <w:rsid w:val="000E2BA9"/>
    <w:rsid w:val="000E7AE2"/>
    <w:rsid w:val="000F3A54"/>
    <w:rsid w:val="00116AA9"/>
    <w:rsid w:val="001204FC"/>
    <w:rsid w:val="00134EEC"/>
    <w:rsid w:val="00167D07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663F9"/>
    <w:rsid w:val="002A55FD"/>
    <w:rsid w:val="002E2285"/>
    <w:rsid w:val="002E248C"/>
    <w:rsid w:val="002F7938"/>
    <w:rsid w:val="0031508E"/>
    <w:rsid w:val="00330B0F"/>
    <w:rsid w:val="003419C3"/>
    <w:rsid w:val="003525DD"/>
    <w:rsid w:val="0038074C"/>
    <w:rsid w:val="00386DD0"/>
    <w:rsid w:val="00391690"/>
    <w:rsid w:val="003B6F3D"/>
    <w:rsid w:val="003D7F17"/>
    <w:rsid w:val="004131BA"/>
    <w:rsid w:val="0042681D"/>
    <w:rsid w:val="00427684"/>
    <w:rsid w:val="00433379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505FA0"/>
    <w:rsid w:val="00523B21"/>
    <w:rsid w:val="0057190C"/>
    <w:rsid w:val="005C1C1B"/>
    <w:rsid w:val="005F6AF1"/>
    <w:rsid w:val="00600AF7"/>
    <w:rsid w:val="00606F90"/>
    <w:rsid w:val="00611BEE"/>
    <w:rsid w:val="0061331F"/>
    <w:rsid w:val="00626962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F458D"/>
    <w:rsid w:val="00803CAE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52C30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C55F2"/>
    <w:rsid w:val="00AE3F64"/>
    <w:rsid w:val="00AF153D"/>
    <w:rsid w:val="00B06EE8"/>
    <w:rsid w:val="00B131AE"/>
    <w:rsid w:val="00B17E39"/>
    <w:rsid w:val="00B30C15"/>
    <w:rsid w:val="00B4667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23A3"/>
    <w:rsid w:val="00C76479"/>
    <w:rsid w:val="00C818FA"/>
    <w:rsid w:val="00C93F54"/>
    <w:rsid w:val="00C948D1"/>
    <w:rsid w:val="00CE301B"/>
    <w:rsid w:val="00CE6AEC"/>
    <w:rsid w:val="00D020F7"/>
    <w:rsid w:val="00D074DB"/>
    <w:rsid w:val="00D2216D"/>
    <w:rsid w:val="00D26712"/>
    <w:rsid w:val="00D30FF5"/>
    <w:rsid w:val="00D51A6E"/>
    <w:rsid w:val="00DE2759"/>
    <w:rsid w:val="00DE673A"/>
    <w:rsid w:val="00E56A7F"/>
    <w:rsid w:val="00E57D88"/>
    <w:rsid w:val="00E63F79"/>
    <w:rsid w:val="00EC1DF8"/>
    <w:rsid w:val="00ED5E5B"/>
    <w:rsid w:val="00F14EBE"/>
    <w:rsid w:val="00F50592"/>
    <w:rsid w:val="00F53317"/>
    <w:rsid w:val="00F65131"/>
    <w:rsid w:val="00F90239"/>
    <w:rsid w:val="00F90345"/>
    <w:rsid w:val="00FA4B80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8918-9971-4C40-9252-D9F5E7EA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8027</Words>
  <Characters>4576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3</cp:revision>
  <cp:lastPrinted>2025-07-14T05:04:00Z</cp:lastPrinted>
  <dcterms:created xsi:type="dcterms:W3CDTF">2025-07-30T06:32:00Z</dcterms:created>
  <dcterms:modified xsi:type="dcterms:W3CDTF">2025-07-30T06:48:00Z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