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601BE3">
      <w:pPr>
        <w:pStyle w:val="a3"/>
        <w:spacing w:before="0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601BE3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AF153D" w:rsidRPr="007D44FF" w:rsidRDefault="00477B2C" w:rsidP="00601BE3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>
        <w:t>05.08.2025</w:t>
      </w:r>
      <w:r w:rsidRPr="007D44FF">
        <w:t xml:space="preserve"> № </w:t>
      </w:r>
      <w:r>
        <w:t>588</w:t>
      </w:r>
    </w:p>
    <w:p w:rsidR="00D51A6E" w:rsidRPr="007D44FF" w:rsidRDefault="00D51A6E" w:rsidP="00601BE3">
      <w:pPr>
        <w:pStyle w:val="a3"/>
        <w:spacing w:before="0" w:line="20" w:lineRule="exact"/>
        <w:ind w:left="5359"/>
      </w:pPr>
    </w:p>
    <w:p w:rsidR="00D51A6E" w:rsidRPr="007D44FF" w:rsidRDefault="00D51A6E" w:rsidP="00601BE3">
      <w:pPr>
        <w:pStyle w:val="a3"/>
        <w:spacing w:before="0"/>
      </w:pPr>
    </w:p>
    <w:p w:rsidR="00D51A6E" w:rsidRPr="007D44FF" w:rsidRDefault="0042681D" w:rsidP="00601BE3">
      <w:pPr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820E38" w:rsidRPr="00E9192A" w:rsidRDefault="0081346B" w:rsidP="00601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адміністративної </w:t>
      </w:r>
      <w:r w:rsidR="00820E38">
        <w:rPr>
          <w:b/>
          <w:sz w:val="28"/>
          <w:szCs w:val="28"/>
        </w:rPr>
        <w:t xml:space="preserve">послуги з </w:t>
      </w:r>
      <w:r w:rsidR="00E9192A" w:rsidRPr="00E9192A">
        <w:rPr>
          <w:b/>
          <w:sz w:val="29"/>
          <w:szCs w:val="29"/>
        </w:rPr>
        <w:t>виплати одноразової винагороди жінкам, яким</w:t>
      </w:r>
      <w:r>
        <w:rPr>
          <w:b/>
        </w:rPr>
        <w:t xml:space="preserve"> </w:t>
      </w:r>
      <w:r w:rsidR="00E9192A" w:rsidRPr="00E9192A">
        <w:rPr>
          <w:b/>
          <w:sz w:val="29"/>
          <w:szCs w:val="29"/>
        </w:rPr>
        <w:t>присвоєно почесне звання України “Мати-героїня”</w:t>
      </w:r>
    </w:p>
    <w:p w:rsidR="00AF153D" w:rsidRPr="007D44FF" w:rsidRDefault="003419C3" w:rsidP="00601BE3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601BE3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 w:rsidP="00601BE3">
      <w:pPr>
        <w:pStyle w:val="a3"/>
        <w:spacing w:before="0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D51A6E" w:rsidRDefault="00BE6C6C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 w:rsidR="00921983"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0F3A54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Білогір’я, Шепетівський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Теофіполь,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Віньківці,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966E89">
              <w:rPr>
                <w:i/>
                <w:sz w:val="28"/>
                <w:szCs w:val="28"/>
              </w:rPr>
              <w:t>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Нова Ушиця, Кам’янець – Подільський район, Хмельницька область;</w:t>
            </w:r>
          </w:p>
          <w:p w:rsidR="00457023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>, м. Дунаївці,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Полонне, Шепетівський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Шепетівський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Летичів,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lastRenderedPageBreak/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2, м. Славута,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 (Приміщення ЦНАП), м. Нетішин,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Деражня,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Ярмолинці,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Шепетівський район, Хмельницька область;</w:t>
            </w:r>
          </w:p>
          <w:p w:rsidR="003D7F17" w:rsidRPr="007D44FF" w:rsidRDefault="00C43637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491849" w:rsidRDefault="00491849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області;</w:t>
            </w:r>
          </w:p>
          <w:p w:rsidR="007D44FF" w:rsidRPr="007D44FF" w:rsidRDefault="007D44F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уповноважені банки</w:t>
            </w:r>
            <w:r w:rsidRPr="007D44FF">
              <w:rPr>
                <w:i/>
                <w:sz w:val="28"/>
                <w:szCs w:val="28"/>
              </w:rPr>
              <w:t xml:space="preserve">, які надали згоду на участь в експериментальному </w:t>
            </w:r>
            <w:proofErr w:type="spellStart"/>
            <w:r w:rsidRPr="007D44FF">
              <w:rPr>
                <w:i/>
                <w:sz w:val="28"/>
                <w:szCs w:val="28"/>
              </w:rPr>
              <w:t>проєкті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</w:p>
        </w:tc>
      </w:tr>
      <w:tr w:rsidR="00477B2C" w:rsidRPr="007D44FF" w:rsidTr="00606F90">
        <w:trPr>
          <w:trHeight w:val="763"/>
        </w:trPr>
        <w:tc>
          <w:tcPr>
            <w:tcW w:w="430" w:type="dxa"/>
          </w:tcPr>
          <w:p w:rsidR="00477B2C" w:rsidRPr="007D44FF" w:rsidRDefault="00477B2C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477B2C" w:rsidRPr="007D44FF" w:rsidRDefault="00477B2C" w:rsidP="00C23EBD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477B2C" w:rsidRDefault="00477B2C" w:rsidP="00C23EBD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477B2C" w:rsidRPr="007D44FF" w:rsidRDefault="00477B2C" w:rsidP="00C23EBD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77B2C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Теофіполь;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Віньківці;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="00966E89" w:rsidRP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>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Ушиця;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Летичів;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 (Приміщення </w:t>
            </w:r>
            <w:r w:rsidR="008F759C" w:rsidRPr="007D44FF">
              <w:rPr>
                <w:i/>
                <w:sz w:val="28"/>
                <w:szCs w:val="28"/>
              </w:rPr>
              <w:lastRenderedPageBreak/>
              <w:t>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Деражня;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Ярмолинці;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70,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25, с-ще Теофіполь;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1А, с-ще Віньківці;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966E89">
              <w:rPr>
                <w:i/>
                <w:sz w:val="28"/>
                <w:szCs w:val="28"/>
              </w:rPr>
              <w:t>вул</w:t>
            </w:r>
            <w:r w:rsidR="008F759C"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="008F759C" w:rsidRPr="007D44FF">
              <w:rPr>
                <w:i/>
                <w:sz w:val="28"/>
                <w:szCs w:val="28"/>
              </w:rPr>
              <w:t>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="008F759C" w:rsidRPr="007D44FF">
              <w:rPr>
                <w:i/>
                <w:sz w:val="28"/>
                <w:szCs w:val="28"/>
              </w:rPr>
              <w:t>, с-ще Нова Ушиця;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97, м. Полонне;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16, с-ще Летичів;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Деражня;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3, с-ще Ярмолинці;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38а, м. Красилів;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17/1, м. Старокостянтинів;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  <w:p w:rsidR="00E9192A" w:rsidRPr="007D44FF" w:rsidRDefault="00E9192A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477B2C" w:rsidRPr="007D44FF" w:rsidTr="00606F90">
        <w:trPr>
          <w:trHeight w:val="763"/>
        </w:trPr>
        <w:tc>
          <w:tcPr>
            <w:tcW w:w="430" w:type="dxa"/>
          </w:tcPr>
          <w:p w:rsidR="00477B2C" w:rsidRDefault="00477B2C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477B2C" w:rsidRDefault="00477B2C" w:rsidP="00C23EBD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Інформація щодо</w:t>
            </w:r>
          </w:p>
          <w:p w:rsidR="00477B2C" w:rsidRDefault="00477B2C" w:rsidP="00C23EBD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режиму роботи ЦНАП</w:t>
            </w:r>
          </w:p>
          <w:p w:rsidR="00477B2C" w:rsidRPr="007D44FF" w:rsidRDefault="00477B2C" w:rsidP="00C23EBD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77B2C" w:rsidRDefault="00477B2C" w:rsidP="00C23EBD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477B2C" w:rsidRDefault="00477B2C" w:rsidP="00C23EBD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477B2C" w:rsidRDefault="00477B2C" w:rsidP="00C23EBD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477B2C" w:rsidRDefault="00477B2C" w:rsidP="00C23EBD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 </w:t>
            </w:r>
          </w:p>
          <w:p w:rsidR="00477B2C" w:rsidRPr="007D44FF" w:rsidRDefault="00477B2C" w:rsidP="00C23EB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вихідний – субота, неділя</w:t>
            </w:r>
          </w:p>
        </w:tc>
      </w:tr>
      <w:tr w:rsidR="00D51A6E" w:rsidRPr="007D44FF" w:rsidTr="0043505D">
        <w:trPr>
          <w:trHeight w:val="1119"/>
        </w:trPr>
        <w:tc>
          <w:tcPr>
            <w:tcW w:w="430" w:type="dxa"/>
          </w:tcPr>
          <w:p w:rsidR="00D51A6E" w:rsidRPr="007D44FF" w:rsidRDefault="00477B2C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601BE3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4A6015" w:rsidRDefault="00491849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546597" w:rsidRDefault="00546597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  <w:p w:rsidR="00E9192A" w:rsidRPr="00546597" w:rsidRDefault="00E9192A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477B2C" w:rsidRPr="007D44FF" w:rsidTr="0043505D">
        <w:trPr>
          <w:trHeight w:val="1119"/>
        </w:trPr>
        <w:tc>
          <w:tcPr>
            <w:tcW w:w="430" w:type="dxa"/>
          </w:tcPr>
          <w:p w:rsidR="00477B2C" w:rsidRPr="007D44FF" w:rsidRDefault="00477B2C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</w:tcPr>
          <w:p w:rsidR="00477B2C" w:rsidRPr="007D44FF" w:rsidRDefault="00477B2C" w:rsidP="00C23EBD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Телефон, адреса</w:t>
            </w:r>
            <w:r w:rsidRPr="007D44FF">
              <w:rPr>
                <w:spacing w:val="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електронної пошти, 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477B2C" w:rsidRDefault="00477B2C" w:rsidP="00C23EBD">
            <w:pPr>
              <w:rPr>
                <w:sz w:val="24"/>
              </w:rPr>
            </w:pPr>
            <w:r>
              <w:rPr>
                <w:sz w:val="24"/>
              </w:rPr>
              <w:t>Тел.: (03847) 3-00-51, 0973569203</w:t>
            </w:r>
          </w:p>
          <w:p w:rsidR="00477B2C" w:rsidRDefault="00477B2C" w:rsidP="00C23EBD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Веб-сайт: </w:t>
            </w:r>
            <w:hyperlink r:id="rId9" w:history="1">
              <w:r>
                <w:rPr>
                  <w:rStyle w:val="ab"/>
                  <w:color w:val="0000FF"/>
                  <w:sz w:val="24"/>
                </w:rPr>
                <w:t>http://www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hyperlink r:id="rId10" w:history="1">
              <w:r>
                <w:rPr>
                  <w:rStyle w:val="ab"/>
                  <w:color w:val="0000FF"/>
                  <w:sz w:val="24"/>
                </w:rPr>
                <w:t>http://novagromada.gov.ua/</w:t>
              </w:r>
            </w:hyperlink>
          </w:p>
          <w:p w:rsidR="00477B2C" w:rsidRDefault="00477B2C" w:rsidP="00C23EBD">
            <w:pPr>
              <w:rPr>
                <w:sz w:val="24"/>
              </w:rPr>
            </w:pPr>
            <w:r>
              <w:rPr>
                <w:sz w:val="24"/>
              </w:rPr>
              <w:t>cnap_nu_otg@ukr.net</w:t>
            </w:r>
          </w:p>
          <w:p w:rsidR="00477B2C" w:rsidRPr="007D44FF" w:rsidRDefault="00477B2C" w:rsidP="00C23EBD">
            <w:pPr>
              <w:pStyle w:val="TableParagraph"/>
              <w:tabs>
                <w:tab w:val="left" w:pos="2620"/>
                <w:tab w:val="left" w:pos="4867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601BE3">
            <w:pPr>
              <w:pStyle w:val="TableParagraph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477B2C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E9192A" w:rsidRDefault="00E9192A" w:rsidP="00601BE3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Закон України “Про державні нагороди України”;</w:t>
            </w:r>
            <w:r>
              <w:t xml:space="preserve"> </w:t>
            </w:r>
          </w:p>
          <w:p w:rsidR="00546597" w:rsidRDefault="00E9192A" w:rsidP="00601BE3">
            <w:pPr>
              <w:pStyle w:val="TableParagraph"/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Закон України “Про адміністративну процедуру”.</w:t>
            </w:r>
          </w:p>
          <w:p w:rsidR="00954389" w:rsidRPr="007D44FF" w:rsidRDefault="00954389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477B2C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601BE3">
            <w:pPr>
              <w:pStyle w:val="TableParagraph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E9192A" w:rsidRDefault="00E9192A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Порядок виплати одноразової винагороди жінкам,</w:t>
            </w:r>
            <w:r>
              <w:t xml:space="preserve"> </w:t>
            </w:r>
            <w:r>
              <w:rPr>
                <w:sz w:val="29"/>
                <w:szCs w:val="29"/>
              </w:rPr>
              <w:t>яким присвоєно почесне звання України “Мати-героїня”, затверджений постановою Кабінету</w:t>
            </w:r>
            <w:r>
              <w:t xml:space="preserve"> </w:t>
            </w:r>
            <w:r>
              <w:rPr>
                <w:sz w:val="29"/>
                <w:szCs w:val="29"/>
              </w:rPr>
              <w:t>Міністрів України від 28 лютого 2011 року №268;</w:t>
            </w:r>
            <w:r>
              <w:t xml:space="preserve"> </w:t>
            </w:r>
          </w:p>
          <w:p w:rsidR="00546597" w:rsidRDefault="00E9192A" w:rsidP="00601BE3">
            <w:pPr>
              <w:widowControl/>
              <w:adjustRightInd w:val="0"/>
              <w:ind w:firstLine="426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25 червня 2025 року №765 “Деякі питання</w:t>
            </w:r>
            <w:r>
              <w:br/>
            </w:r>
            <w:r>
              <w:rPr>
                <w:sz w:val="29"/>
                <w:szCs w:val="29"/>
              </w:rPr>
              <w:t>призначення та виплати державних соціальних</w:t>
            </w:r>
            <w:r>
              <w:br/>
            </w:r>
            <w:r>
              <w:rPr>
                <w:sz w:val="29"/>
                <w:szCs w:val="29"/>
              </w:rPr>
              <w:t>допомог, соціальних стипендій органами Пенсійного</w:t>
            </w:r>
            <w:r>
              <w:t xml:space="preserve"> </w:t>
            </w:r>
            <w:r>
              <w:rPr>
                <w:sz w:val="29"/>
                <w:szCs w:val="29"/>
              </w:rPr>
              <w:t>фонду України” (далі – постанова №765).</w:t>
            </w:r>
          </w:p>
          <w:p w:rsidR="00954389" w:rsidRPr="007E6B55" w:rsidRDefault="00954389" w:rsidP="00601BE3">
            <w:pPr>
              <w:widowControl/>
              <w:adjustRightInd w:val="0"/>
              <w:ind w:firstLine="426"/>
              <w:jc w:val="both"/>
              <w:rPr>
                <w:sz w:val="27"/>
                <w:szCs w:val="27"/>
              </w:rPr>
            </w:pP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477B2C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54" w:type="dxa"/>
            <w:gridSpan w:val="2"/>
          </w:tcPr>
          <w:p w:rsidR="00894978" w:rsidRPr="007D44FF" w:rsidRDefault="00894978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546597" w:rsidRPr="007D44FF" w:rsidRDefault="007F6542" w:rsidP="00954389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7F6542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від 30 липня 2015 року №13-1 “Про організацію </w:t>
            </w:r>
            <w:r w:rsidRPr="007F6542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7F6542">
              <w:rPr>
                <w:sz w:val="28"/>
                <w:szCs w:val="28"/>
              </w:rPr>
              <w:t>органів Пенсійного фонду України</w:t>
            </w:r>
            <w:r>
              <w:rPr>
                <w:sz w:val="28"/>
                <w:szCs w:val="28"/>
              </w:rPr>
              <w:t xml:space="preserve">”, зареєстрована в </w:t>
            </w:r>
            <w:r w:rsidRPr="007F6542">
              <w:rPr>
                <w:sz w:val="28"/>
                <w:szCs w:val="28"/>
              </w:rPr>
              <w:t>Міністерстві юстиції України 18 серпня 2015 року</w:t>
            </w:r>
            <w:r>
              <w:rPr>
                <w:sz w:val="28"/>
                <w:szCs w:val="28"/>
              </w:rPr>
              <w:t xml:space="preserve"> за №</w:t>
            </w:r>
            <w:r w:rsidRPr="007F6542">
              <w:rPr>
                <w:sz w:val="28"/>
                <w:szCs w:val="28"/>
              </w:rPr>
              <w:t>991/27436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601BE3">
            <w:pPr>
              <w:pStyle w:val="TableParagraph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7F067C">
        <w:trPr>
          <w:trHeight w:val="411"/>
        </w:trPr>
        <w:tc>
          <w:tcPr>
            <w:tcW w:w="449" w:type="dxa"/>
            <w:gridSpan w:val="2"/>
          </w:tcPr>
          <w:p w:rsidR="00427684" w:rsidRPr="007D44FF" w:rsidRDefault="00477B2C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27684" w:rsidRPr="007D44FF" w:rsidRDefault="00FC093A" w:rsidP="00601BE3">
            <w:pPr>
              <w:pStyle w:val="TableParagraph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Особи, які мають </w:t>
            </w:r>
            <w:r w:rsidRPr="007D44FF">
              <w:rPr>
                <w:sz w:val="28"/>
                <w:szCs w:val="28"/>
              </w:rPr>
              <w:lastRenderedPageBreak/>
              <w:t>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954389" w:rsidRDefault="00954389" w:rsidP="00601BE3">
            <w:pPr>
              <w:widowControl/>
              <w:adjustRightInd w:val="0"/>
              <w:ind w:firstLine="284"/>
              <w:jc w:val="both"/>
            </w:pPr>
            <w:r>
              <w:rPr>
                <w:sz w:val="29"/>
                <w:szCs w:val="29"/>
              </w:rPr>
              <w:lastRenderedPageBreak/>
              <w:t>Жінка, якій присвоєно почесне звання України</w:t>
            </w:r>
            <w:r>
              <w:br/>
            </w:r>
            <w:r>
              <w:rPr>
                <w:sz w:val="29"/>
                <w:szCs w:val="29"/>
              </w:rPr>
              <w:lastRenderedPageBreak/>
              <w:t>“Мати-героїня”;</w:t>
            </w:r>
            <w:r>
              <w:t xml:space="preserve"> </w:t>
            </w:r>
          </w:p>
          <w:p w:rsidR="007E6B55" w:rsidRPr="007F067C" w:rsidRDefault="00954389" w:rsidP="00601BE3">
            <w:pPr>
              <w:widowControl/>
              <w:adjustRightInd w:val="0"/>
              <w:ind w:firstLine="284"/>
              <w:jc w:val="both"/>
              <w:rPr>
                <w:sz w:val="27"/>
                <w:szCs w:val="27"/>
              </w:rPr>
            </w:pPr>
            <w:r>
              <w:rPr>
                <w:sz w:val="29"/>
                <w:szCs w:val="29"/>
              </w:rPr>
              <w:t>уповноважена нею особа.</w:t>
            </w:r>
          </w:p>
        </w:tc>
      </w:tr>
      <w:tr w:rsidR="00205250" w:rsidRPr="007D44FF" w:rsidTr="007F067C">
        <w:trPr>
          <w:trHeight w:val="268"/>
        </w:trPr>
        <w:tc>
          <w:tcPr>
            <w:tcW w:w="449" w:type="dxa"/>
            <w:gridSpan w:val="2"/>
          </w:tcPr>
          <w:p w:rsidR="00205250" w:rsidRPr="007D44FF" w:rsidRDefault="00477B2C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</w:tcPr>
          <w:p w:rsidR="00C948D1" w:rsidRPr="007D44FF" w:rsidRDefault="00C706F3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Pr="007F067C" w:rsidRDefault="00954389" w:rsidP="00601BE3">
            <w:pPr>
              <w:pStyle w:val="TableParagraph"/>
              <w:ind w:right="42" w:firstLine="366"/>
              <w:rPr>
                <w:sz w:val="27"/>
                <w:szCs w:val="27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>
              <w:rPr>
                <w:sz w:val="28"/>
                <w:szCs w:val="28"/>
              </w:rPr>
              <w:t>головного управління Пенсійного фонду України в 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477B2C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E6AEC" w:rsidRPr="007D44FF" w:rsidRDefault="00FB584D" w:rsidP="00601BE3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601BE3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16F1A" w:rsidRPr="00A16F1A" w:rsidRDefault="00C706F3" w:rsidP="00601BE3">
            <w:pPr>
              <w:widowControl/>
              <w:adjustRightInd w:val="0"/>
              <w:ind w:firstLine="142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  </w:t>
            </w:r>
            <w:r w:rsidR="0042480C">
              <w:rPr>
                <w:rFonts w:eastAsiaTheme="minorHAnsi"/>
                <w:sz w:val="28"/>
                <w:szCs w:val="28"/>
              </w:rPr>
              <w:t>Заявник</w:t>
            </w:r>
            <w:r w:rsidR="00A16F1A" w:rsidRPr="00A16F1A">
              <w:rPr>
                <w:rFonts w:eastAsiaTheme="minorHAnsi"/>
                <w:sz w:val="28"/>
                <w:szCs w:val="28"/>
              </w:rPr>
              <w:t>, осо</w:t>
            </w:r>
            <w:r w:rsidR="0042480C">
              <w:rPr>
                <w:rFonts w:eastAsiaTheme="minorHAnsi"/>
                <w:sz w:val="28"/>
                <w:szCs w:val="28"/>
              </w:rPr>
              <w:t>ба якого</w:t>
            </w:r>
            <w:r w:rsidR="00A16F1A">
              <w:rPr>
                <w:rFonts w:eastAsiaTheme="minorHAnsi"/>
                <w:sz w:val="28"/>
                <w:szCs w:val="28"/>
              </w:rPr>
              <w:t xml:space="preserve"> посвідчується паспортом </w:t>
            </w:r>
            <w:r w:rsidR="00A16F1A" w:rsidRPr="00A16F1A">
              <w:rPr>
                <w:rFonts w:eastAsiaTheme="minorHAnsi"/>
                <w:sz w:val="28"/>
                <w:szCs w:val="28"/>
              </w:rPr>
              <w:t>громадянина У</w:t>
            </w:r>
            <w:r w:rsidR="00A16F1A">
              <w:rPr>
                <w:rFonts w:eastAsiaTheme="minorHAnsi"/>
                <w:sz w:val="28"/>
                <w:szCs w:val="28"/>
              </w:rPr>
              <w:t xml:space="preserve">країни або іншим документом, що </w:t>
            </w:r>
            <w:r w:rsidR="00A16F1A" w:rsidRPr="00A16F1A">
              <w:rPr>
                <w:rFonts w:eastAsiaTheme="minorHAnsi"/>
                <w:sz w:val="28"/>
                <w:szCs w:val="28"/>
              </w:rPr>
              <w:t>посвідчує особу (паспортний документ іноземця /</w:t>
            </w:r>
          </w:p>
          <w:p w:rsidR="00A16F1A" w:rsidRPr="00A16F1A" w:rsidRDefault="00A16F1A" w:rsidP="00601BE3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посвідка на по</w:t>
            </w:r>
            <w:r>
              <w:rPr>
                <w:rFonts w:eastAsiaTheme="minorHAnsi"/>
                <w:sz w:val="28"/>
                <w:szCs w:val="28"/>
              </w:rPr>
              <w:t xml:space="preserve">стійне проживання / посвідчення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біженця / </w:t>
            </w:r>
            <w:r>
              <w:rPr>
                <w:rFonts w:eastAsiaTheme="minorHAnsi"/>
                <w:sz w:val="28"/>
                <w:szCs w:val="28"/>
              </w:rPr>
              <w:t xml:space="preserve">посвідчення особи, яка потребує </w:t>
            </w:r>
            <w:r w:rsidRPr="00A16F1A">
              <w:rPr>
                <w:rFonts w:eastAsiaTheme="minorHAnsi"/>
                <w:sz w:val="28"/>
                <w:szCs w:val="28"/>
              </w:rPr>
              <w:t>додаткового захисту), пред’являє документ, що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засвідчує реєстрацію особи у Державному реєстрі</w:t>
            </w:r>
          </w:p>
          <w:p w:rsidR="00324353" w:rsidRDefault="00A16F1A" w:rsidP="00601BE3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фізичних осіб – плат</w:t>
            </w:r>
            <w:r>
              <w:rPr>
                <w:rFonts w:eastAsiaTheme="minorHAnsi"/>
                <w:sz w:val="28"/>
                <w:szCs w:val="28"/>
              </w:rPr>
              <w:t xml:space="preserve">ників податків (картка платника </w:t>
            </w:r>
            <w:r w:rsidRPr="00A16F1A">
              <w:rPr>
                <w:rFonts w:eastAsiaTheme="minorHAnsi"/>
                <w:sz w:val="28"/>
                <w:szCs w:val="28"/>
              </w:rPr>
              <w:t>податків), а</w:t>
            </w:r>
            <w:r>
              <w:rPr>
                <w:rFonts w:eastAsiaTheme="minorHAnsi"/>
                <w:sz w:val="28"/>
                <w:szCs w:val="28"/>
              </w:rPr>
              <w:t xml:space="preserve">бо дані про реєстраційний номер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</w:t>
            </w:r>
            <w:r>
              <w:rPr>
                <w:rFonts w:eastAsiaTheme="minorHAnsi"/>
                <w:sz w:val="28"/>
                <w:szCs w:val="28"/>
              </w:rPr>
              <w:t xml:space="preserve">латника податків із зазначеного </w:t>
            </w:r>
            <w:r w:rsidRPr="00A16F1A">
              <w:rPr>
                <w:rFonts w:eastAsiaTheme="minorHAnsi"/>
                <w:sz w:val="28"/>
                <w:szCs w:val="28"/>
              </w:rPr>
              <w:t>Державно</w:t>
            </w:r>
            <w:r>
              <w:rPr>
                <w:rFonts w:eastAsiaTheme="minorHAnsi"/>
                <w:sz w:val="28"/>
                <w:szCs w:val="28"/>
              </w:rPr>
              <w:t xml:space="preserve">го реєстру, внесені до паспорта </w:t>
            </w:r>
            <w:r w:rsidRPr="00A16F1A">
              <w:rPr>
                <w:rFonts w:eastAsiaTheme="minorHAnsi"/>
                <w:sz w:val="28"/>
                <w:szCs w:val="28"/>
              </w:rPr>
              <w:t>громадянина Украї</w:t>
            </w:r>
            <w:r>
              <w:rPr>
                <w:rFonts w:eastAsiaTheme="minorHAnsi"/>
                <w:sz w:val="28"/>
                <w:szCs w:val="28"/>
              </w:rPr>
              <w:t xml:space="preserve">ни або свідоцтва про народження </w:t>
            </w:r>
            <w:r w:rsidRPr="00A16F1A">
              <w:rPr>
                <w:rFonts w:eastAsiaTheme="minorHAnsi"/>
                <w:sz w:val="28"/>
                <w:szCs w:val="28"/>
              </w:rPr>
              <w:t>(крім осіб, які ч</w:t>
            </w:r>
            <w:r>
              <w:rPr>
                <w:rFonts w:eastAsiaTheme="minorHAnsi"/>
                <w:sz w:val="28"/>
                <w:szCs w:val="28"/>
              </w:rPr>
              <w:t xml:space="preserve">ерез свої релігійні переконання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відмовляються від </w:t>
            </w:r>
            <w:r>
              <w:rPr>
                <w:rFonts w:eastAsiaTheme="minorHAnsi"/>
                <w:sz w:val="28"/>
                <w:szCs w:val="28"/>
              </w:rPr>
              <w:t xml:space="preserve">прийняття реєстраційного номера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платника податків та повідомили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про це відповідно</w:t>
            </w:r>
            <w:r w:rsidR="00330B0F">
              <w:rPr>
                <w:rFonts w:eastAsiaTheme="minorHAnsi"/>
                <w:sz w:val="28"/>
                <w:szCs w:val="28"/>
              </w:rPr>
              <w:t xml:space="preserve">му контролюючому органу і мають </w:t>
            </w:r>
            <w:r w:rsidR="00324353">
              <w:rPr>
                <w:rFonts w:eastAsiaTheme="minorHAnsi"/>
                <w:sz w:val="28"/>
                <w:szCs w:val="28"/>
              </w:rPr>
              <w:t xml:space="preserve">відмітку в паспорті); </w:t>
            </w:r>
          </w:p>
          <w:p w:rsidR="00324353" w:rsidRDefault="0032435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заява за формою, затвердженою постановою</w:t>
            </w:r>
            <w:r>
              <w:br/>
            </w:r>
            <w:r>
              <w:rPr>
                <w:sz w:val="27"/>
                <w:szCs w:val="27"/>
              </w:rPr>
              <w:t>№765;</w:t>
            </w:r>
            <w:r>
              <w:t xml:space="preserve"> </w:t>
            </w:r>
          </w:p>
          <w:p w:rsidR="00954389" w:rsidRDefault="00954389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Указ Президента України про присвоєння</w:t>
            </w:r>
            <w:r>
              <w:br/>
            </w:r>
            <w:r>
              <w:rPr>
                <w:sz w:val="29"/>
                <w:szCs w:val="29"/>
              </w:rPr>
              <w:t>почесного звання “Мати-героїня”;</w:t>
            </w:r>
            <w:r>
              <w:t xml:space="preserve"> </w:t>
            </w:r>
          </w:p>
          <w:p w:rsidR="00954389" w:rsidRPr="00C97AC6" w:rsidRDefault="00954389" w:rsidP="00C97AC6">
            <w:pPr>
              <w:widowControl/>
              <w:adjustRightInd w:val="0"/>
              <w:ind w:firstLine="426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нотаріально засвідчений документ, що</w:t>
            </w:r>
            <w:r>
              <w:br/>
            </w:r>
            <w:r>
              <w:rPr>
                <w:sz w:val="29"/>
                <w:szCs w:val="29"/>
              </w:rPr>
              <w:t>підтверджує право уповноваженої особи</w:t>
            </w:r>
            <w:r>
              <w:br/>
            </w:r>
            <w:r>
              <w:rPr>
                <w:sz w:val="29"/>
                <w:szCs w:val="29"/>
              </w:rPr>
              <w:t>представляти жінку, якій присвоєно почесне звання.</w:t>
            </w:r>
          </w:p>
        </w:tc>
      </w:tr>
      <w:tr w:rsidR="00205250" w:rsidRPr="007D44FF" w:rsidTr="004F1CDB">
        <w:trPr>
          <w:trHeight w:val="1403"/>
        </w:trPr>
        <w:tc>
          <w:tcPr>
            <w:tcW w:w="449" w:type="dxa"/>
            <w:gridSpan w:val="2"/>
          </w:tcPr>
          <w:p w:rsidR="00205250" w:rsidRPr="007D44FF" w:rsidRDefault="00AB0EC5" w:rsidP="00477B2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477B2C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601BE3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601BE3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E6B55" w:rsidRDefault="00324353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У паперовій формі при особистому зверненні до</w:t>
            </w:r>
            <w:r>
              <w:t xml:space="preserve"> </w:t>
            </w:r>
            <w:r w:rsidR="0081346B">
              <w:rPr>
                <w:sz w:val="29"/>
                <w:szCs w:val="29"/>
              </w:rPr>
              <w:t>сервісних центрів головного управління</w:t>
            </w:r>
            <w:r>
              <w:rPr>
                <w:sz w:val="29"/>
                <w:szCs w:val="29"/>
              </w:rPr>
              <w:t xml:space="preserve"> Пенсійного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 xml:space="preserve">фонду України в </w:t>
            </w:r>
            <w:r w:rsidR="0081346B">
              <w:rPr>
                <w:sz w:val="29"/>
                <w:szCs w:val="29"/>
              </w:rPr>
              <w:t>Хмельницькій області</w:t>
            </w:r>
            <w:r>
              <w:rPr>
                <w:sz w:val="29"/>
                <w:szCs w:val="29"/>
              </w:rPr>
              <w:t>, виконавчого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органу сільської, селищної, міської, районної в місті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(у разі утворення) ради, центрів надання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адміністративних послуг;</w:t>
            </w:r>
            <w:r w:rsidR="007E6B55">
              <w:t xml:space="preserve"> </w:t>
            </w:r>
          </w:p>
          <w:p w:rsidR="007E6B55" w:rsidRDefault="00324353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засоба</w:t>
            </w:r>
            <w:r w:rsidR="0081346B">
              <w:rPr>
                <w:sz w:val="29"/>
                <w:szCs w:val="29"/>
              </w:rPr>
              <w:t>ми поштового зв’язку до головного</w:t>
            </w:r>
            <w:r>
              <w:br/>
            </w:r>
            <w:r w:rsidR="0081346B">
              <w:rPr>
                <w:sz w:val="29"/>
                <w:szCs w:val="29"/>
              </w:rPr>
              <w:t>управління</w:t>
            </w:r>
            <w:r>
              <w:rPr>
                <w:sz w:val="29"/>
                <w:szCs w:val="29"/>
              </w:rPr>
              <w:t xml:space="preserve"> Пенсійного фонду України в </w:t>
            </w:r>
            <w:r w:rsidR="0081346B">
              <w:rPr>
                <w:sz w:val="29"/>
                <w:szCs w:val="29"/>
              </w:rPr>
              <w:lastRenderedPageBreak/>
              <w:t>Хмельницькій області</w:t>
            </w:r>
            <w:r>
              <w:rPr>
                <w:sz w:val="29"/>
                <w:szCs w:val="29"/>
              </w:rPr>
              <w:t>;</w:t>
            </w:r>
            <w:r w:rsidR="007E6B55">
              <w:t xml:space="preserve"> </w:t>
            </w:r>
          </w:p>
          <w:p w:rsidR="007E6B55" w:rsidRPr="0043505D" w:rsidRDefault="00324353" w:rsidP="00601BE3">
            <w:pPr>
              <w:pStyle w:val="TableParagraph"/>
              <w:ind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 електронній формі (за технічної можливості)</w:t>
            </w:r>
            <w:r>
              <w:br/>
            </w:r>
            <w:r>
              <w:rPr>
                <w:sz w:val="29"/>
                <w:szCs w:val="29"/>
              </w:rPr>
              <w:t>через вебпортал електронних послуг, мобільний</w:t>
            </w:r>
            <w:r>
              <w:br/>
            </w:r>
            <w:r>
              <w:rPr>
                <w:sz w:val="29"/>
                <w:szCs w:val="29"/>
              </w:rPr>
              <w:t>додаток Пенсійного фонду України або Єдиний</w:t>
            </w:r>
            <w:r>
              <w:br/>
            </w:r>
            <w:r>
              <w:rPr>
                <w:sz w:val="29"/>
                <w:szCs w:val="29"/>
              </w:rPr>
              <w:t>державний вебпортал електронних послуг (Портал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Дія) з накладенням кваліфікованого електронного</w:t>
            </w:r>
            <w:r w:rsidR="007E6B55">
              <w:t xml:space="preserve"> </w:t>
            </w:r>
            <w:r w:rsidR="00954389">
              <w:rPr>
                <w:sz w:val="29"/>
                <w:szCs w:val="29"/>
              </w:rPr>
              <w:t xml:space="preserve">підпису або удосконаленого </w:t>
            </w:r>
            <w:r>
              <w:rPr>
                <w:sz w:val="29"/>
                <w:szCs w:val="29"/>
              </w:rPr>
              <w:t>електронного підпису,</w:t>
            </w:r>
            <w:r w:rsidR="007E6B55">
              <w:t xml:space="preserve"> </w:t>
            </w:r>
            <w:r w:rsidR="00954389">
              <w:rPr>
                <w:sz w:val="29"/>
                <w:szCs w:val="29"/>
              </w:rPr>
              <w:t xml:space="preserve">що базується на </w:t>
            </w:r>
            <w:r>
              <w:rPr>
                <w:sz w:val="29"/>
                <w:szCs w:val="29"/>
              </w:rPr>
              <w:t>кваліфікованому сертифікаті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електронного підпису.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477B2C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477B2C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477B2C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477B2C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5250" w:rsidRPr="007D44FF" w:rsidRDefault="006D10A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954389" w:rsidP="00954389">
            <w:pPr>
              <w:pStyle w:val="TableParagraph"/>
              <w:ind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Заява розглядається не пізніше ніж протягом</w:t>
            </w:r>
            <w:r>
              <w:br/>
            </w:r>
            <w:r>
              <w:rPr>
                <w:sz w:val="29"/>
                <w:szCs w:val="29"/>
              </w:rPr>
              <w:t>10 днів після її надходження з усіма необхідними</w:t>
            </w:r>
            <w:r>
              <w:br/>
            </w:r>
            <w:r>
              <w:rPr>
                <w:sz w:val="29"/>
                <w:szCs w:val="29"/>
              </w:rPr>
              <w:t>документами та/або відомостями</w:t>
            </w:r>
          </w:p>
        </w:tc>
      </w:tr>
      <w:tr w:rsidR="00D2216D" w:rsidRPr="007D44FF" w:rsidTr="00C97AC6">
        <w:trPr>
          <w:trHeight w:val="1940"/>
        </w:trPr>
        <w:tc>
          <w:tcPr>
            <w:tcW w:w="449" w:type="dxa"/>
            <w:gridSpan w:val="2"/>
          </w:tcPr>
          <w:p w:rsidR="00AB0EC5" w:rsidRPr="007D44FF" w:rsidRDefault="00D2216D" w:rsidP="00477B2C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477B2C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  <w:p w:rsidR="00D2216D" w:rsidRPr="007D44FF" w:rsidRDefault="00D2216D" w:rsidP="00601BE3">
            <w:pPr>
              <w:pStyle w:val="TableParagraph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C97AC6" w:rsidRDefault="00954389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Не встановлено особу жінки, якій присвоєно</w:t>
            </w:r>
            <w:r>
              <w:br/>
            </w:r>
            <w:r>
              <w:rPr>
                <w:sz w:val="29"/>
                <w:szCs w:val="29"/>
              </w:rPr>
              <w:t>почесне звання.</w:t>
            </w:r>
            <w:r w:rsidR="00C97AC6">
              <w:t xml:space="preserve"> </w:t>
            </w:r>
          </w:p>
          <w:p w:rsidR="007E6B55" w:rsidRPr="00AC3E05" w:rsidRDefault="00954389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У разі коли необхідні документи та/або відомості</w:t>
            </w:r>
            <w:r w:rsidR="00C97AC6">
              <w:t xml:space="preserve"> </w:t>
            </w:r>
            <w:r>
              <w:rPr>
                <w:sz w:val="29"/>
                <w:szCs w:val="29"/>
              </w:rPr>
              <w:t>не подані протягом 30 календарних днів з дня</w:t>
            </w:r>
            <w:r w:rsidR="00C97AC6">
              <w:t xml:space="preserve"> </w:t>
            </w:r>
            <w:r>
              <w:rPr>
                <w:sz w:val="29"/>
                <w:szCs w:val="29"/>
              </w:rPr>
              <w:t>одержання повідомлення органу Пенсійного фонду</w:t>
            </w:r>
            <w:r w:rsidR="00C97AC6">
              <w:t xml:space="preserve"> </w:t>
            </w:r>
            <w:r>
              <w:rPr>
                <w:sz w:val="29"/>
                <w:szCs w:val="29"/>
              </w:rPr>
              <w:t>України.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477B2C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477B2C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248C" w:rsidRPr="007D44FF" w:rsidRDefault="002E248C" w:rsidP="00601BE3">
            <w:pPr>
              <w:pStyle w:val="TableParagraph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601BE3">
            <w:pPr>
              <w:pStyle w:val="TableParagraph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C97AC6" w:rsidRDefault="00C97AC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приймає</w:t>
            </w:r>
            <w:r>
              <w:br/>
            </w:r>
            <w:r>
              <w:rPr>
                <w:sz w:val="29"/>
                <w:szCs w:val="29"/>
              </w:rPr>
              <w:t>рішення про виплату винагороди / відмову у виплаті</w:t>
            </w:r>
            <w:r>
              <w:t xml:space="preserve"> </w:t>
            </w:r>
            <w:r>
              <w:rPr>
                <w:sz w:val="29"/>
                <w:szCs w:val="29"/>
              </w:rPr>
              <w:t>винагороди.</w:t>
            </w:r>
            <w:r>
              <w:t xml:space="preserve"> </w:t>
            </w:r>
          </w:p>
          <w:p w:rsidR="007E6B55" w:rsidRPr="0043505D" w:rsidRDefault="00C97AC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У разі коли до заяви не додані всі необхідні</w:t>
            </w:r>
            <w:r>
              <w:br/>
            </w:r>
            <w:r>
              <w:rPr>
                <w:sz w:val="29"/>
                <w:szCs w:val="29"/>
              </w:rPr>
              <w:t>документи та/або відомості, орган Пенсійного фонду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повідомляє заявника, які документи та/або</w:t>
            </w:r>
            <w:r>
              <w:t xml:space="preserve"> </w:t>
            </w:r>
            <w:r>
              <w:rPr>
                <w:sz w:val="29"/>
                <w:szCs w:val="29"/>
              </w:rPr>
              <w:t>відомості мають бути подані додатково. Якщо вони</w:t>
            </w:r>
            <w:r>
              <w:t xml:space="preserve"> </w:t>
            </w:r>
            <w:r>
              <w:rPr>
                <w:sz w:val="29"/>
                <w:szCs w:val="29"/>
              </w:rPr>
              <w:t>будуть подані не пізніше ніж протягом 30</w:t>
            </w:r>
            <w:r>
              <w:t xml:space="preserve"> </w:t>
            </w:r>
            <w:r>
              <w:rPr>
                <w:sz w:val="29"/>
                <w:szCs w:val="29"/>
              </w:rPr>
              <w:t>календарних днів з дня одержання зазначеного</w:t>
            </w:r>
            <w:r>
              <w:t xml:space="preserve"> </w:t>
            </w:r>
            <w:r>
              <w:rPr>
                <w:sz w:val="29"/>
                <w:szCs w:val="29"/>
              </w:rPr>
              <w:t>повідомлення, днем (місяцем) звернення за</w:t>
            </w:r>
            <w:r>
              <w:t xml:space="preserve"> </w:t>
            </w:r>
            <w:r>
              <w:rPr>
                <w:sz w:val="29"/>
                <w:szCs w:val="29"/>
              </w:rPr>
              <w:t>призначенням допомоги вважається день (місяць)</w:t>
            </w:r>
            <w:r>
              <w:t xml:space="preserve"> </w:t>
            </w:r>
            <w:r>
              <w:rPr>
                <w:sz w:val="29"/>
                <w:szCs w:val="29"/>
              </w:rPr>
              <w:t>прийняття або відправлення заяви.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477B2C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477B2C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05250" w:rsidRPr="007D44FF" w:rsidRDefault="00205250" w:rsidP="00601BE3">
            <w:pPr>
              <w:pStyle w:val="TableParagraph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256A59" w:rsidRDefault="007E6B55" w:rsidP="00601BE3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повідомляє про</w:t>
            </w:r>
            <w:r>
              <w:t xml:space="preserve"> </w:t>
            </w:r>
            <w:r>
              <w:rPr>
                <w:sz w:val="29"/>
                <w:szCs w:val="29"/>
              </w:rPr>
              <w:t>прийняте рішення невідкладно, а за наявності обґрунтованих причин – не більш як через три</w:t>
            </w:r>
            <w:r>
              <w:t xml:space="preserve"> </w:t>
            </w:r>
            <w:r>
              <w:rPr>
                <w:sz w:val="29"/>
                <w:szCs w:val="29"/>
              </w:rPr>
              <w:t>робочі дні з дня прийняття відповідного рішення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шляхом надсилання </w:t>
            </w:r>
            <w:r>
              <w:rPr>
                <w:sz w:val="29"/>
                <w:szCs w:val="29"/>
              </w:rPr>
              <w:lastRenderedPageBreak/>
              <w:t>повідомлення у паперовій або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електронній формі (за наявності адреси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пошти).</w:t>
            </w:r>
            <w:r w:rsidR="00256A59">
              <w:t xml:space="preserve"> </w:t>
            </w:r>
          </w:p>
          <w:p w:rsidR="00806F8C" w:rsidRPr="007D44FF" w:rsidRDefault="007E6B55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Якщо заява з необхідними документами та/або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>відомостями була подана через центр надання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>адміністративних послуг, орган Пенсійного фонду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інформує центр надання адміністративних</w:t>
            </w:r>
            <w:r>
              <w:t xml:space="preserve"> </w:t>
            </w:r>
            <w:r>
              <w:rPr>
                <w:sz w:val="29"/>
                <w:szCs w:val="29"/>
              </w:rPr>
              <w:t>послуг про прийняте рішення протягом трьох</w:t>
            </w:r>
            <w:r>
              <w:t xml:space="preserve"> </w:t>
            </w:r>
            <w:r>
              <w:rPr>
                <w:sz w:val="29"/>
                <w:szCs w:val="29"/>
              </w:rPr>
              <w:t>робочих днів з дня прийняття рішення.</w:t>
            </w:r>
          </w:p>
        </w:tc>
      </w:tr>
    </w:tbl>
    <w:p w:rsidR="008D5305" w:rsidRDefault="008D5305" w:rsidP="0081346B">
      <w:pPr>
        <w:tabs>
          <w:tab w:val="left" w:pos="6999"/>
        </w:tabs>
        <w:rPr>
          <w:b/>
          <w:sz w:val="28"/>
          <w:szCs w:val="28"/>
        </w:rPr>
      </w:pPr>
    </w:p>
    <w:sectPr w:rsidR="008D5305" w:rsidSect="00C97AC6">
      <w:headerReference w:type="default" r:id="rId11"/>
      <w:pgSz w:w="11910" w:h="16840"/>
      <w:pgMar w:top="1134" w:right="567" w:bottom="1985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38" w:rsidRDefault="00BC2A38">
      <w:r>
        <w:separator/>
      </w:r>
    </w:p>
  </w:endnote>
  <w:endnote w:type="continuationSeparator" w:id="0">
    <w:p w:rsidR="00BC2A38" w:rsidRDefault="00B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38" w:rsidRDefault="00BC2A38">
      <w:r>
        <w:separator/>
      </w:r>
    </w:p>
  </w:footnote>
  <w:footnote w:type="continuationSeparator" w:id="0">
    <w:p w:rsidR="00BC2A38" w:rsidRDefault="00BC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954389" w:rsidRDefault="009543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B2C" w:rsidRPr="00477B2C">
          <w:rPr>
            <w:noProof/>
            <w:lang w:val="ru-RU"/>
          </w:rPr>
          <w:t>7</w:t>
        </w:r>
        <w:r>
          <w:fldChar w:fldCharType="end"/>
        </w:r>
      </w:p>
    </w:sdtContent>
  </w:sdt>
  <w:p w:rsidR="00954389" w:rsidRDefault="00954389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51AFD"/>
    <w:rsid w:val="00064DE9"/>
    <w:rsid w:val="00067BEB"/>
    <w:rsid w:val="00096AA3"/>
    <w:rsid w:val="00097260"/>
    <w:rsid w:val="000A74A9"/>
    <w:rsid w:val="000C35BD"/>
    <w:rsid w:val="000C7456"/>
    <w:rsid w:val="000E2BA9"/>
    <w:rsid w:val="000F3A54"/>
    <w:rsid w:val="00116AA9"/>
    <w:rsid w:val="001204FC"/>
    <w:rsid w:val="00134EEC"/>
    <w:rsid w:val="0017228B"/>
    <w:rsid w:val="001769EC"/>
    <w:rsid w:val="001813A9"/>
    <w:rsid w:val="001831B6"/>
    <w:rsid w:val="00195F16"/>
    <w:rsid w:val="0019631F"/>
    <w:rsid w:val="001E3AAC"/>
    <w:rsid w:val="001F67D4"/>
    <w:rsid w:val="00205250"/>
    <w:rsid w:val="00206FF1"/>
    <w:rsid w:val="00215C82"/>
    <w:rsid w:val="00230D67"/>
    <w:rsid w:val="00256A59"/>
    <w:rsid w:val="002663F9"/>
    <w:rsid w:val="002A55FD"/>
    <w:rsid w:val="002E2285"/>
    <w:rsid w:val="002E248C"/>
    <w:rsid w:val="002F7938"/>
    <w:rsid w:val="0031508E"/>
    <w:rsid w:val="00324353"/>
    <w:rsid w:val="00330B0F"/>
    <w:rsid w:val="003419C3"/>
    <w:rsid w:val="003525DD"/>
    <w:rsid w:val="0038074C"/>
    <w:rsid w:val="00386DD0"/>
    <w:rsid w:val="003B6F3D"/>
    <w:rsid w:val="003D7F17"/>
    <w:rsid w:val="004131BA"/>
    <w:rsid w:val="0042480C"/>
    <w:rsid w:val="0042681D"/>
    <w:rsid w:val="00427684"/>
    <w:rsid w:val="00433379"/>
    <w:rsid w:val="0043505D"/>
    <w:rsid w:val="00447A6F"/>
    <w:rsid w:val="004528AF"/>
    <w:rsid w:val="00457023"/>
    <w:rsid w:val="0046226D"/>
    <w:rsid w:val="00477B2C"/>
    <w:rsid w:val="00491849"/>
    <w:rsid w:val="004976F6"/>
    <w:rsid w:val="004A6015"/>
    <w:rsid w:val="004C5724"/>
    <w:rsid w:val="004D414D"/>
    <w:rsid w:val="004F1CDB"/>
    <w:rsid w:val="00505FA0"/>
    <w:rsid w:val="00523B21"/>
    <w:rsid w:val="00546597"/>
    <w:rsid w:val="0057190C"/>
    <w:rsid w:val="0057444D"/>
    <w:rsid w:val="005C1C1B"/>
    <w:rsid w:val="005F6AF1"/>
    <w:rsid w:val="00600AF7"/>
    <w:rsid w:val="00601BE3"/>
    <w:rsid w:val="00606F90"/>
    <w:rsid w:val="00611BEE"/>
    <w:rsid w:val="0061331F"/>
    <w:rsid w:val="00626D41"/>
    <w:rsid w:val="00642427"/>
    <w:rsid w:val="006650CC"/>
    <w:rsid w:val="006852BC"/>
    <w:rsid w:val="0068714B"/>
    <w:rsid w:val="006926EC"/>
    <w:rsid w:val="00693A03"/>
    <w:rsid w:val="006B0078"/>
    <w:rsid w:val="006B148D"/>
    <w:rsid w:val="006D10A2"/>
    <w:rsid w:val="006D1E57"/>
    <w:rsid w:val="007139EF"/>
    <w:rsid w:val="00736CC8"/>
    <w:rsid w:val="0074568C"/>
    <w:rsid w:val="007A34CD"/>
    <w:rsid w:val="007B2CB7"/>
    <w:rsid w:val="007B60DC"/>
    <w:rsid w:val="007C5E7D"/>
    <w:rsid w:val="007D44FF"/>
    <w:rsid w:val="007E6B55"/>
    <w:rsid w:val="007F067C"/>
    <w:rsid w:val="007F458D"/>
    <w:rsid w:val="007F6542"/>
    <w:rsid w:val="00806F8C"/>
    <w:rsid w:val="0081346B"/>
    <w:rsid w:val="00817A2E"/>
    <w:rsid w:val="00820E38"/>
    <w:rsid w:val="008566EA"/>
    <w:rsid w:val="00873BDF"/>
    <w:rsid w:val="00891944"/>
    <w:rsid w:val="00894978"/>
    <w:rsid w:val="00894E1D"/>
    <w:rsid w:val="008C5A2C"/>
    <w:rsid w:val="008D5305"/>
    <w:rsid w:val="008E7FC4"/>
    <w:rsid w:val="008F3FBF"/>
    <w:rsid w:val="008F759C"/>
    <w:rsid w:val="00910D98"/>
    <w:rsid w:val="00921983"/>
    <w:rsid w:val="00944A65"/>
    <w:rsid w:val="00952C30"/>
    <w:rsid w:val="00954389"/>
    <w:rsid w:val="00966E89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3E05"/>
    <w:rsid w:val="00AE3F64"/>
    <w:rsid w:val="00AF153D"/>
    <w:rsid w:val="00B06EE8"/>
    <w:rsid w:val="00B131AE"/>
    <w:rsid w:val="00B17E39"/>
    <w:rsid w:val="00B30C15"/>
    <w:rsid w:val="00B66520"/>
    <w:rsid w:val="00B74513"/>
    <w:rsid w:val="00BC2A38"/>
    <w:rsid w:val="00BC6BF4"/>
    <w:rsid w:val="00BD1A29"/>
    <w:rsid w:val="00BE6C6C"/>
    <w:rsid w:val="00BF4E88"/>
    <w:rsid w:val="00C00D11"/>
    <w:rsid w:val="00C052AA"/>
    <w:rsid w:val="00C322A5"/>
    <w:rsid w:val="00C34C86"/>
    <w:rsid w:val="00C43637"/>
    <w:rsid w:val="00C706F3"/>
    <w:rsid w:val="00C76479"/>
    <w:rsid w:val="00C818FA"/>
    <w:rsid w:val="00C93F54"/>
    <w:rsid w:val="00C948D1"/>
    <w:rsid w:val="00C97AC6"/>
    <w:rsid w:val="00CE301B"/>
    <w:rsid w:val="00CE6AEC"/>
    <w:rsid w:val="00D074DB"/>
    <w:rsid w:val="00D2216D"/>
    <w:rsid w:val="00D26712"/>
    <w:rsid w:val="00D30FF5"/>
    <w:rsid w:val="00D51A6E"/>
    <w:rsid w:val="00D63EED"/>
    <w:rsid w:val="00DE2759"/>
    <w:rsid w:val="00DE673A"/>
    <w:rsid w:val="00E56A7F"/>
    <w:rsid w:val="00E9192A"/>
    <w:rsid w:val="00EC1DF8"/>
    <w:rsid w:val="00ED5E5B"/>
    <w:rsid w:val="00EE5AF0"/>
    <w:rsid w:val="00F14EBE"/>
    <w:rsid w:val="00F350BF"/>
    <w:rsid w:val="00F50592"/>
    <w:rsid w:val="00F53317"/>
    <w:rsid w:val="00F65131"/>
    <w:rsid w:val="00F90239"/>
    <w:rsid w:val="00F90345"/>
    <w:rsid w:val="00FB4983"/>
    <w:rsid w:val="00FB584D"/>
    <w:rsid w:val="00FC093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semiHidden/>
    <w:unhideWhenUsed/>
    <w:rsid w:val="00477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semiHidden/>
    <w:unhideWhenUsed/>
    <w:rsid w:val="00477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FA3DC-79A3-44E5-8285-F9EF56D2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6429</Words>
  <Characters>3666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2</cp:revision>
  <cp:lastPrinted>2025-08-05T05:27:00Z</cp:lastPrinted>
  <dcterms:created xsi:type="dcterms:W3CDTF">2025-08-08T08:46:00Z</dcterms:created>
  <dcterms:modified xsi:type="dcterms:W3CDTF">2025-08-08T08:46:00Z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