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4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>2</w:t>
      </w:r>
      <w:r>
        <w:rPr>
          <w:rFonts w:hint="default"/>
          <w:b/>
          <w:i/>
          <w:sz w:val="24"/>
          <w:lang w:val="uk-UA"/>
        </w:rPr>
        <w:t>2 листопада</w:t>
      </w:r>
      <w:bookmarkStart w:id="0" w:name="_GoBack"/>
      <w:bookmarkEnd w:id="0"/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 xml:space="preserve">Присутні: </w:t>
      </w:r>
      <w:r>
        <w:t xml:space="preserve">Гринчук Г. П., Дудчак М.М., </w:t>
      </w:r>
      <w:r>
        <w:rPr>
          <w:lang w:val="uk-UA"/>
        </w:rPr>
        <w:t>Тарчинськив</w:t>
      </w:r>
      <w:r>
        <w:rPr>
          <w:rFonts w:hint="default"/>
          <w:lang w:val="uk-UA"/>
        </w:rPr>
        <w:t xml:space="preserve"> В.В.</w:t>
      </w:r>
      <w:r>
        <w:t>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.</w:t>
      </w:r>
      <w:r>
        <w:rPr>
          <w:lang w:val="uk-UA"/>
        </w:rPr>
        <w:t>В</w:t>
      </w:r>
      <w:r>
        <w:rPr>
          <w:rFonts w:hint="default"/>
          <w:lang w:val="uk-UA"/>
        </w:rPr>
        <w:t>.Костюченко</w:t>
      </w:r>
      <w:r>
        <w:t xml:space="preserve"> – </w:t>
      </w:r>
      <w:r>
        <w:rPr>
          <w:lang w:val="uk-UA"/>
        </w:rPr>
        <w:t>Секретар</w:t>
      </w:r>
      <w:r>
        <w:t xml:space="preserve"> Новоушицько</w:t>
      </w:r>
      <w:r>
        <w:rPr>
          <w:lang w:val="uk-UA"/>
        </w:rPr>
        <w:t>ї</w:t>
      </w:r>
      <w:r>
        <w:t xml:space="preserve"> селищно</w:t>
      </w:r>
      <w:r>
        <w:rPr>
          <w:lang w:val="uk-UA"/>
        </w:rPr>
        <w:t>ї</w:t>
      </w:r>
      <w:r>
        <w:rPr>
          <w:rFonts w:hint="default"/>
          <w:lang w:val="uk-UA"/>
        </w:rPr>
        <w:t xml:space="preserve"> ради</w:t>
      </w:r>
      <w:r>
        <w:t xml:space="preserve">,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</w:t>
            </w:r>
            <w:r>
              <w:rPr>
                <w:rFonts w:hint="default"/>
                <w:u w:val="single"/>
                <w:lang w:val="uk-UA"/>
              </w:rPr>
              <w:t xml:space="preserve"> дозволу на розроблення дозволу на розроблення проектів землеустрою щодо відведення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надання</w:t>
            </w:r>
            <w:r>
              <w:rPr>
                <w:rFonts w:hint="default"/>
                <w:u w:val="single"/>
                <w:lang w:val="uk-UA"/>
              </w:rPr>
              <w:t xml:space="preserve"> дозволу на розроблення технічних документацій із землеустрою щодо інвентаризації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рішення Новоушицької селищної ради від 2</w:t>
            </w:r>
            <w:r>
              <w:rPr>
                <w:rFonts w:hint="default"/>
                <w:u w:val="single"/>
                <w:lang w:val="uk-UA"/>
              </w:rPr>
              <w:t>9</w:t>
            </w:r>
            <w:r>
              <w:rPr>
                <w:u w:val="single"/>
                <w:lang w:val="uk-UA"/>
              </w:rPr>
              <w:t xml:space="preserve"> квітня 202</w:t>
            </w:r>
            <w:r>
              <w:rPr>
                <w:rFonts w:hint="default"/>
                <w:u w:val="single"/>
                <w:lang w:val="uk-UA"/>
              </w:rPr>
              <w:t>1</w:t>
            </w:r>
            <w:r>
              <w:rPr>
                <w:u w:val="single"/>
                <w:lang w:val="uk-UA"/>
              </w:rPr>
              <w:t xml:space="preserve"> року №</w:t>
            </w:r>
            <w:r>
              <w:rPr>
                <w:rFonts w:hint="default"/>
                <w:u w:val="single"/>
                <w:lang w:val="uk-UA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u w:val="single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Про клопотання</w:t>
            </w:r>
            <w:r>
              <w:rPr>
                <w:rFonts w:hint="default"/>
                <w:color w:val="000000"/>
                <w:u w:val="single"/>
                <w:lang w:val="uk-UA"/>
              </w:rPr>
              <w:t xml:space="preserve"> АТ “Оператор газорозподільної системи “Хмельницькгаз”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розгляд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комісії виноситься питання «</w:t>
            </w:r>
            <w:r>
              <w:rPr>
                <w:color w:val="000000"/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на розроблення дозволу на розроблення проектів землеустрою щодо відведення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24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листопада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на розроблення дозволу на розроблення проектів землеустрою щодо відведення земельних ділянок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 xml:space="preserve">За – </w:t>
            </w:r>
            <w:r>
              <w:rPr>
                <w:rFonts w:hint="default"/>
                <w:b/>
                <w:lang w:val="uk-UA"/>
              </w:rPr>
              <w:t>4</w:t>
            </w:r>
            <w:r>
              <w:rPr>
                <w:b/>
              </w:rPr>
              <w:t xml:space="preserve">, Проти – 0, Утрим. – 0, Не голос. – </w:t>
            </w:r>
            <w:r>
              <w:rPr>
                <w:rFonts w:hint="default"/>
                <w:b/>
                <w:lang w:val="uk-UA"/>
              </w:rPr>
              <w:t>0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на 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на 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22 листопада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дозволу на розроблення технічних документацій із землеустрою щодо інвентаризації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 4,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внесення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внесення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 листопада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внесення змін до договорів оренди земельних ділянок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 4,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внесення змін до рішення Новоушицької селищної ради від 2</w:t>
            </w:r>
            <w:r>
              <w:rPr>
                <w:rFonts w:hint="default"/>
                <w:highlight w:val="none"/>
                <w:u w:val="single"/>
                <w:lang w:val="uk-UA"/>
              </w:rPr>
              <w:t>9</w:t>
            </w:r>
            <w:r>
              <w:rPr>
                <w:highlight w:val="none"/>
                <w:u w:val="single"/>
                <w:lang w:val="uk-UA"/>
              </w:rPr>
              <w:t xml:space="preserve"> квітня 202</w:t>
            </w:r>
            <w:r>
              <w:rPr>
                <w:rFonts w:hint="default"/>
                <w:highlight w:val="none"/>
                <w:u w:val="single"/>
                <w:lang w:val="uk-UA"/>
              </w:rPr>
              <w:t>1</w:t>
            </w:r>
            <w:r>
              <w:rPr>
                <w:highlight w:val="none"/>
                <w:u w:val="single"/>
                <w:lang w:val="uk-UA"/>
              </w:rPr>
              <w:t xml:space="preserve"> року №</w:t>
            </w:r>
            <w:r>
              <w:rPr>
                <w:rFonts w:hint="default"/>
                <w:highlight w:val="none"/>
                <w:u w:val="single"/>
                <w:lang w:val="uk-UA"/>
              </w:rPr>
              <w:t>37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внесення змін до рішення Новоушицької селищної ради від 2</w:t>
            </w:r>
            <w:r>
              <w:rPr>
                <w:rFonts w:hint="default"/>
                <w:highlight w:val="none"/>
                <w:u w:val="single"/>
                <w:lang w:val="uk-UA"/>
              </w:rPr>
              <w:t>9</w:t>
            </w:r>
            <w:r>
              <w:rPr>
                <w:highlight w:val="none"/>
                <w:u w:val="single"/>
                <w:lang w:val="uk-UA"/>
              </w:rPr>
              <w:t xml:space="preserve"> квітня 202</w:t>
            </w:r>
            <w:r>
              <w:rPr>
                <w:rFonts w:hint="default"/>
                <w:highlight w:val="none"/>
                <w:u w:val="single"/>
                <w:lang w:val="uk-UA"/>
              </w:rPr>
              <w:t>1</w:t>
            </w:r>
            <w:r>
              <w:rPr>
                <w:highlight w:val="none"/>
                <w:u w:val="single"/>
                <w:lang w:val="uk-UA"/>
              </w:rPr>
              <w:t xml:space="preserve"> року №</w:t>
            </w:r>
            <w:r>
              <w:rPr>
                <w:rFonts w:hint="default"/>
                <w:highlight w:val="none"/>
                <w:u w:val="single"/>
                <w:lang w:val="uk-UA"/>
              </w:rPr>
              <w:t>37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</w:t>
            </w:r>
            <w:r>
              <w:rPr>
                <w:rFonts w:hint="default"/>
                <w:sz w:val="24"/>
                <w:szCs w:val="24"/>
                <w:highlight w:val="none"/>
                <w:lang w:val="en-US" w:eastAsia="ru-RU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листопада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внесення змін до рішення Новоушицької селищної ради від 2</w:t>
            </w:r>
            <w:r>
              <w:rPr>
                <w:rFonts w:hint="default"/>
                <w:highlight w:val="none"/>
                <w:u w:val="single"/>
                <w:lang w:val="uk-UA"/>
              </w:rPr>
              <w:t>9</w:t>
            </w:r>
            <w:r>
              <w:rPr>
                <w:highlight w:val="none"/>
                <w:u w:val="single"/>
                <w:lang w:val="uk-UA"/>
              </w:rPr>
              <w:t xml:space="preserve"> квітня 202</w:t>
            </w:r>
            <w:r>
              <w:rPr>
                <w:rFonts w:hint="default"/>
                <w:highlight w:val="none"/>
                <w:u w:val="single"/>
                <w:lang w:val="uk-UA"/>
              </w:rPr>
              <w:t>1</w:t>
            </w:r>
            <w:r>
              <w:rPr>
                <w:highlight w:val="none"/>
                <w:u w:val="single"/>
                <w:lang w:val="uk-UA"/>
              </w:rPr>
              <w:t xml:space="preserve"> року №</w:t>
            </w:r>
            <w:r>
              <w:rPr>
                <w:rFonts w:hint="default"/>
                <w:highlight w:val="none"/>
                <w:u w:val="single"/>
                <w:lang w:val="uk-UA"/>
              </w:rPr>
              <w:t>37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 4,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клопотання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АТ “Оператор газорозподільної системи “Хмельницькгаз”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клопотання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АТ “Оператор газорозподільної системи “Хмельницькгаз”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листопада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клопотання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АТ “Оператор газорозподільної системи “Хмельницькгаз”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–4,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Г. ГРИНЧУК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М. ДУДЧАУ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724D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8</TotalTime>
  <ScaleCrop>false</ScaleCrop>
  <LinksUpToDate>false</LinksUpToDate>
  <CharactersWithSpaces>6681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2022-12-13T15:02:33Z</cp:lastPrinted>
  <dcterms:modified xsi:type="dcterms:W3CDTF">2022-12-13T15:03:01Z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926404FE407E4CAE9261401696E22565</vt:lpwstr>
  </property>
</Properties>
</file>