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rFonts w:hint="default"/>
          <w:b/>
          <w:lang w:val="uk-UA"/>
        </w:rPr>
      </w:pPr>
      <w:r>
        <w:rPr>
          <w:b/>
        </w:rPr>
        <w:t xml:space="preserve"> ПРОТОКОЛ №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uk-UA"/>
        </w:rPr>
        <w:t>3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  <w:highlight w:val="none"/>
          <w:lang w:val="ru-RU"/>
        </w:rPr>
        <w:t>2</w:t>
      </w:r>
      <w:r>
        <w:rPr>
          <w:rFonts w:hint="default"/>
          <w:b/>
          <w:i/>
          <w:sz w:val="24"/>
          <w:highlight w:val="none"/>
          <w:lang w:val="uk-UA"/>
        </w:rPr>
        <w:t>5</w:t>
      </w:r>
      <w:r>
        <w:rPr>
          <w:rFonts w:hint="default"/>
          <w:b/>
          <w:i/>
          <w:sz w:val="24"/>
          <w:lang w:val="uk-UA"/>
        </w:rPr>
        <w:t xml:space="preserve"> жовтня</w:t>
      </w:r>
      <w:r>
        <w:rPr>
          <w:b/>
          <w:i/>
          <w:sz w:val="24"/>
        </w:rPr>
        <w:t xml:space="preserve"> 2022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b/>
          <w:i/>
          <w:sz w:val="24"/>
        </w:rPr>
        <w:t>14.00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 xml:space="preserve">Присутні: </w:t>
      </w:r>
      <w:r>
        <w:t xml:space="preserve">, Дудчак М.М., </w:t>
      </w:r>
      <w:r>
        <w:rPr>
          <w:lang w:val="uk-UA"/>
        </w:rPr>
        <w:t>Кищук</w:t>
      </w:r>
      <w:r>
        <w:rPr>
          <w:rFonts w:hint="default"/>
          <w:lang w:val="uk-UA"/>
        </w:rPr>
        <w:t xml:space="preserve"> І.І.</w:t>
      </w:r>
      <w:r>
        <w:t>, Фурман В.А.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>Запрошені:</w:t>
      </w:r>
      <w:r>
        <w:t xml:space="preserve">.Р.Садлій – перший заступник Новоушицького селищного голови, І. Миколайчук – головний спеціаліст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 припинення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дії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технічних документацій з нормативної грошової оцінки  земельної ділянки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highlight w:val="none"/>
                <w:u w:val="single"/>
                <w:lang w:val="uk-UA"/>
              </w:rPr>
            </w:pP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Про надання дозволу нарозроблення технічних документацій із землеустрою щодо інвентаризації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 передачу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 продовження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терміну дії договору оренди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 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виділення земельних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Про затвердження технічних</w:t>
            </w:r>
            <w:r>
              <w:rPr>
                <w:rFonts w:hint="default"/>
                <w:color w:val="000000"/>
                <w:highlight w:val="none"/>
                <w:u w:val="single"/>
              </w:rPr>
              <w:t xml:space="preserve"> 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документацій із землеустрою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</w:p>
    <w:tbl>
      <w:tblPr>
        <w:tblStyle w:val="5"/>
        <w:tblW w:w="11110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5"/>
        <w:gridCol w:w="8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припинення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дії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категорії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припинення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дії договорів оренди земельних ділянок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жовтня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припинення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дії договорів оренди земельних ділянок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 xml:space="preserve">, Проти – 0, Утрим. – 0,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технічних документацій з нормативної грошової оцінки  земельної ділянки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технічних документацій з нормативної грошової оцінки  земельної ділянки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 жовтня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технічних документацій з нормативної грошової оцінки  земельної ділянки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Про надання дозволу нарозроблення технічних документацій із землеустрою щодо інвентаризації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Про надання дозволу нарозроблення технічних документацій із землеустрою щодо інвентаризації земельних ділянок</w:t>
            </w:r>
            <w:r>
              <w:rPr>
                <w:sz w:val="24"/>
                <w:szCs w:val="24"/>
                <w:highlight w:val="none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7 жовтня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Про надання дозволу нарозроблення технічних документацій із землеустрою щодо інвентаризації земельних ділянок</w:t>
            </w:r>
            <w:r>
              <w:rPr>
                <w:highlight w:val="none"/>
                <w:u w:val="single"/>
              </w:rPr>
              <w:t>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передачу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земельних ділянок в оренду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передачу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земельних ділянок в оренду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7</w:t>
            </w:r>
            <w:r>
              <w:rPr>
                <w:rFonts w:hint="default"/>
                <w:sz w:val="24"/>
                <w:szCs w:val="24"/>
                <w:highlight w:val="none"/>
                <w:lang w:val="en-US" w:eastAsia="ru-RU"/>
              </w:rPr>
              <w:t xml:space="preserve"> 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жовтня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передачу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продовження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терміну дії договору оренди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І.О.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left="200"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продовження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терміну дії договору оренди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та запропонував виключити дане питання з проектів рішення засідання ради на підставі ЗУ №2145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жовтня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продовження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терміну дії договору оренди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та виключити дане питання з проектів рішення засідання ради на підставі ЗУ №2145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pStyle w:val="7"/>
              <w:ind w:left="200" w:right="483"/>
              <w:jc w:val="both"/>
            </w:pPr>
          </w:p>
          <w:p>
            <w:pPr>
              <w:pStyle w:val="7"/>
              <w:ind w:left="200" w:right="483"/>
              <w:jc w:val="both"/>
            </w:pPr>
          </w:p>
          <w:p>
            <w:r>
              <w:rPr>
                <w:b/>
              </w:rPr>
              <w:t>За –</w:t>
            </w:r>
            <w:r>
              <w:rPr>
                <w:rFonts w:hint="default"/>
                <w:b/>
                <w:lang w:val="uk-UA"/>
              </w:rPr>
              <w:t>3</w:t>
            </w:r>
            <w:r>
              <w:rPr>
                <w:b/>
              </w:rPr>
              <w:t>, Проти – 0, Утрим. – 0, Не голос. – 0.</w:t>
            </w:r>
            <w:r>
              <w:t xml:space="preserve"> </w:t>
            </w:r>
            <w:r>
              <w:rPr>
                <w:b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виділення земельних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Миколайчук І.О</w:t>
            </w:r>
          </w:p>
          <w:p>
            <w:pPr>
              <w:pStyle w:val="17"/>
              <w:ind w:left="200" w:right="52"/>
              <w:rPr>
                <w:b/>
                <w:sz w:val="24"/>
              </w:rPr>
            </w:pPr>
          </w:p>
          <w:p>
            <w:pPr>
              <w:pStyle w:val="17"/>
              <w:ind w:right="52"/>
              <w:rPr>
                <w:sz w:val="24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категорії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виділення земельних ділянок в натурі (на місцевості)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жовтня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виділення земельних ділянок в натурі (на місцевості)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8795" w:type="dxa"/>
          </w:tcPr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 xml:space="preserve">, Проти – 0, Утрим. – 0,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315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795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Про затвердження технічних</w:t>
            </w:r>
            <w:r>
              <w:rPr>
                <w:rFonts w:hint="default"/>
                <w:color w:val="000000"/>
                <w:highlight w:val="none"/>
                <w:u w:val="single"/>
              </w:rPr>
              <w:t xml:space="preserve"> 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документацій із землеустрою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Миколайчук І.О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right="52"/>
              <w:rPr>
                <w:sz w:val="24"/>
                <w:highlight w:val="none"/>
              </w:rPr>
            </w:pPr>
          </w:p>
        </w:tc>
        <w:tc>
          <w:tcPr>
            <w:tcW w:w="8795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Головний спеціаліст категорії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Про затвердження технічних</w:t>
            </w:r>
            <w:r>
              <w:rPr>
                <w:rFonts w:hint="default"/>
                <w:color w:val="000000"/>
                <w:highlight w:val="none"/>
                <w:u w:val="single"/>
              </w:rPr>
              <w:t xml:space="preserve"> 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документацій із землеустрою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315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315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795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sz w:val="24"/>
                <w:szCs w:val="24"/>
                <w:highlight w:val="none"/>
                <w:lang w:val="uk-UA"/>
              </w:rPr>
              <w:t>І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V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27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жовтня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) 2022 року а саме: </w:t>
            </w:r>
            <w:r>
              <w:rPr>
                <w:highlight w:val="none"/>
              </w:rPr>
              <w:t>«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Про затвердження технічних</w:t>
            </w:r>
            <w:r>
              <w:rPr>
                <w:rFonts w:hint="default"/>
                <w:color w:val="000000"/>
                <w:highlight w:val="none"/>
                <w:u w:val="single"/>
              </w:rPr>
              <w:t xml:space="preserve"> 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документацій із землеустрою</w:t>
            </w:r>
            <w:r>
              <w:rPr>
                <w:highlight w:val="none"/>
              </w:rPr>
              <w:t>».</w:t>
            </w:r>
          </w:p>
        </w:tc>
      </w:tr>
    </w:tbl>
    <w:p>
      <w:pPr>
        <w:pStyle w:val="7"/>
        <w:spacing w:before="11"/>
        <w:rPr>
          <w:sz w:val="23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rFonts w:hint="default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</w:t>
      </w:r>
      <w:r>
        <w:rPr>
          <w:rFonts w:hint="default"/>
          <w:sz w:val="28"/>
          <w:szCs w:val="28"/>
          <w:lang w:val="uk-UA"/>
        </w:rPr>
        <w:t xml:space="preserve"> 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и</w:t>
      </w:r>
      <w:bookmarkStart w:id="0" w:name="_GoBack"/>
      <w:bookmarkEnd w:id="0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М. ДУДЧА</w:t>
      </w:r>
      <w:r>
        <w:rPr>
          <w:sz w:val="28"/>
          <w:szCs w:val="28"/>
          <w:lang w:val="uk-UA"/>
        </w:rPr>
        <w:t>К</w:t>
      </w:r>
    </w:p>
    <w:p>
      <w:pPr>
        <w:pStyle w:val="7"/>
        <w:rPr>
          <w:sz w:val="28"/>
          <w:szCs w:val="28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rFonts w:hint="default"/>
          <w:sz w:val="28"/>
          <w:szCs w:val="28"/>
          <w:lang w:val="uk-UA"/>
        </w:rPr>
        <w:t>. ФУРМАН</w:t>
      </w:r>
      <w:r>
        <w:rPr>
          <w:sz w:val="28"/>
          <w:szCs w:val="28"/>
        </w:rPr>
        <w:t xml:space="preserve">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041CA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8F2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73C8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4A5A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8B09AD"/>
    <w:rsid w:val="091D7310"/>
    <w:rsid w:val="631A4974"/>
    <w:rsid w:val="724D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66E7-8C7A-4E0D-ACE0-65CC3959B6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5695</Characters>
  <Lines>47</Lines>
  <Paragraphs>13</Paragraphs>
  <TotalTime>0</TotalTime>
  <ScaleCrop>false</ScaleCrop>
  <LinksUpToDate>false</LinksUpToDate>
  <CharactersWithSpaces>6681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2022-12-14T14:15:00Z</cp:lastPrinted>
  <dcterms:modified xsi:type="dcterms:W3CDTF">2022-12-14T14:54:34Z</dcterms:modified>
  <dc:title>ПРОТОКОЛ №43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1033-11.2.0.11417</vt:lpwstr>
  </property>
  <property fmtid="{D5CDD505-2E9C-101B-9397-08002B2CF9AE}" pid="4" name="ICV">
    <vt:lpwstr>926404FE407E4CAE9261401696E22565</vt:lpwstr>
  </property>
</Properties>
</file>