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rFonts w:hint="default"/>
          <w:b/>
          <w:lang w:val="uk-UA"/>
        </w:rPr>
      </w:pPr>
      <w:r>
        <w:rPr>
          <w:b/>
        </w:rPr>
        <w:t xml:space="preserve"> ПРОТОКОЛ №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uk-UA"/>
        </w:rPr>
        <w:t>5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lang w:val="ru-RU"/>
        </w:rPr>
        <w:t>2</w:t>
      </w:r>
      <w:r>
        <w:rPr>
          <w:rFonts w:hint="default"/>
          <w:b/>
          <w:i/>
          <w:sz w:val="24"/>
          <w:lang w:val="uk-UA"/>
        </w:rPr>
        <w:t>0 грудня</w:t>
      </w:r>
      <w:r>
        <w:rPr>
          <w:b/>
          <w:i/>
          <w:sz w:val="24"/>
        </w:rPr>
        <w:t xml:space="preserve"> 2022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14.00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>Присутні:</w:t>
      </w:r>
      <w:r>
        <w:rPr>
          <w:b/>
          <w:i/>
          <w:highlight w:val="none"/>
        </w:rPr>
        <w:t xml:space="preserve"> </w:t>
      </w:r>
      <w:r>
        <w:rPr>
          <w:highlight w:val="none"/>
        </w:rPr>
        <w:t xml:space="preserve">Дудчак М.М., </w:t>
      </w:r>
      <w:r>
        <w:rPr>
          <w:highlight w:val="none"/>
          <w:lang w:val="uk-UA"/>
        </w:rPr>
        <w:t>Кищук</w:t>
      </w:r>
      <w:r>
        <w:rPr>
          <w:rFonts w:hint="default"/>
          <w:highlight w:val="none"/>
          <w:lang w:val="uk-UA"/>
        </w:rPr>
        <w:t xml:space="preserve"> І.І.</w:t>
      </w:r>
      <w:r>
        <w:rPr>
          <w:highlight w:val="none"/>
        </w:rPr>
        <w:t>, Фурман В.А.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>Запрошені:</w:t>
      </w:r>
      <w:r>
        <w:t>Р.Садлій – перший заступник Новоушицького селищного голови</w:t>
      </w:r>
      <w:r>
        <w:rPr>
          <w:rFonts w:hint="default"/>
          <w:lang w:val="uk-UA"/>
        </w:rPr>
        <w:t>,</w:t>
      </w:r>
      <w:r>
        <w:t xml:space="preserve"> І. Миколайчук – головний спеціаліст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схвалення</w:t>
            </w:r>
            <w:r>
              <w:rPr>
                <w:rFonts w:hint="default"/>
                <w:u w:val="single"/>
                <w:lang w:val="uk-UA"/>
              </w:rPr>
              <w:t xml:space="preserve"> проєкту Програми розвитку земельних відносин Новоушицької територіальної громади на 2023-2025 роки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надання</w:t>
            </w:r>
            <w:r>
              <w:rPr>
                <w:rFonts w:hint="default"/>
                <w:u w:val="single"/>
                <w:lang w:val="uk-UA"/>
              </w:rPr>
              <w:t xml:space="preserve"> дозволу Новоушицькій селищній раді на розроблення проєкту землеустою щодо відведення земельної ділянки зі зміною її виду цільового призначення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розгляд</w:t>
            </w:r>
            <w:r>
              <w:rPr>
                <w:rFonts w:hint="default"/>
                <w:u w:val="single"/>
                <w:lang w:val="uk-UA"/>
              </w:rPr>
              <w:t xml:space="preserve"> клопотання ТОВ “Промінь Поділля”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припинення</w:t>
            </w:r>
            <w:r>
              <w:rPr>
                <w:rFonts w:hint="default"/>
                <w:u w:val="single"/>
                <w:lang w:val="uk-UA"/>
              </w:rPr>
              <w:t xml:space="preserve"> права користування земельними ділянками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u w:val="single"/>
                <w:lang w:val="uk-UA"/>
              </w:rPr>
              <w:t xml:space="preserve"> земельних ділянок в натурі (на місцевості)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tbl>
      <w:tblPr>
        <w:tblStyle w:val="5"/>
        <w:tblW w:w="11110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3"/>
        <w:gridCol w:w="89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91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схвалення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проєкту Програми розвитку земельних відносин Новоушицької територіальної громади на 2023-2025 роки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193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91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категорії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схвалення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проєкту Програми розвитку земельних відносин Новоушицької територіальної громади на 2023-2025 роки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193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193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22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грудня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схвалення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проєкту Програми розвитку земельних відносин Новоушицької територіальної громади на 2023-2025 роки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91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 xml:space="preserve">, Проти – 0, Утрим. – 0,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91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Новоушицькій селищній раді на розроблення проєкту землеустою щодо відведення земельної ділянки зі зміною її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91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Новоушицькій селищній раді на розроблення проєкту землеустою щодо відведення земельної ділянки зі зміною її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 xml:space="preserve">22 грудня) 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2022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Новоушицькій селищній раді на розроблення проєкту землеустою щодо відведення земельної ділянки зі зміною її виду цільового призначення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91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91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розгляд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клопотання ТОВ “Промінь Поділля”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193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розгляд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клопотання ТОВ “Промінь Поділля”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2193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 грудня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розгляд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клопотання ТОВ “Промінь Поділля”</w:t>
            </w:r>
            <w:r>
              <w:rPr>
                <w:highlight w:val="none"/>
                <w:u w:val="single"/>
              </w:rPr>
              <w:t>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91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91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припинення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права користування земельними ділянками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припинення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права користування земельними ділянками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</w:t>
            </w:r>
            <w:r>
              <w:rPr>
                <w:rFonts w:hint="default"/>
                <w:sz w:val="24"/>
                <w:szCs w:val="24"/>
                <w:highlight w:val="none"/>
                <w:lang w:val="en-US" w:eastAsia="ru-RU"/>
              </w:rPr>
              <w:t xml:space="preserve"> 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грудня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припинення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права користування земельними ділянками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91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91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та запропонував включити звернення гр. Гаженко Валентини Анатоліївни, гр. Остапчук Надії Іванівни, гр. Мельника Олександра Васильовича, гр. Гелеватого Олександра Івановича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грудня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та включити звернення гр. Гаженко Валентини Анатоліївни, гр. Остапчук Надії Іванівни, гр. Мельника Олександра Васильовича, Гелеватого Олександра Івановича</w:t>
            </w:r>
            <w:bookmarkStart w:id="0" w:name="_GoBack"/>
            <w:bookmarkEnd w:id="0"/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91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91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         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та запропонував включити звернення гр. Семенюк Людмили Олексіївни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91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грудня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та включити звернення гр. Семенюк Людмили Олексіївни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193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91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</w:rPr>
      </w:pPr>
    </w:p>
    <w:p>
      <w:pPr>
        <w:pStyle w:val="7"/>
        <w:spacing w:before="11"/>
        <w:rPr>
          <w:sz w:val="23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</w:t>
      </w:r>
      <w:r>
        <w:rPr>
          <w:rFonts w:hint="default"/>
          <w:sz w:val="28"/>
          <w:szCs w:val="28"/>
          <w:lang w:val="uk-UA"/>
        </w:rPr>
        <w:t xml:space="preserve"> 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М. ДУДЧА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 xml:space="preserve">  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rFonts w:hint="default"/>
          <w:sz w:val="28"/>
          <w:szCs w:val="28"/>
          <w:lang w:val="uk-UA"/>
        </w:rPr>
        <w:t>. ФУРМАН</w:t>
      </w:r>
      <w:r>
        <w:rPr>
          <w:sz w:val="28"/>
          <w:szCs w:val="28"/>
        </w:rPr>
        <w:t xml:space="preserve">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8B09AD"/>
    <w:rsid w:val="22AE47FB"/>
    <w:rsid w:val="251C6397"/>
    <w:rsid w:val="41B01EC2"/>
    <w:rsid w:val="724D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4</TotalTime>
  <ScaleCrop>false</ScaleCrop>
  <LinksUpToDate>false</LinksUpToDate>
  <CharactersWithSpaces>6681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2022-12-13T15:02:00Z</cp:lastPrinted>
  <dcterms:modified xsi:type="dcterms:W3CDTF">2022-12-21T06:15:41Z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1033-11.2.0.11440</vt:lpwstr>
  </property>
  <property fmtid="{D5CDD505-2E9C-101B-9397-08002B2CF9AE}" pid="4" name="ICV">
    <vt:lpwstr>926404FE407E4CAE9261401696E22565</vt:lpwstr>
  </property>
</Properties>
</file>