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CD" w:rsidRPr="00B64D02" w:rsidRDefault="00AF49CD" w:rsidP="00AF49CD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  <w:r w:rsidRPr="00B64D02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t>ІНФОРМАЦІЙНА КАРТКА</w:t>
      </w:r>
    </w:p>
    <w:p w:rsidR="00AF49CD" w:rsidRPr="00B64D02" w:rsidRDefault="00AF49CD" w:rsidP="00AF49CD">
      <w:pPr>
        <w:tabs>
          <w:tab w:val="left" w:pos="396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  <w:r w:rsidRPr="00B64D02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t xml:space="preserve"> Державна реєстрація переходу юридичної особи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t>на діяльність на підставі власного установчого документу (модульного статуту)</w:t>
      </w:r>
    </w:p>
    <w:p w:rsidR="00AF49CD" w:rsidRPr="00B64D02" w:rsidRDefault="00AF49CD" w:rsidP="00AF49CD">
      <w:pPr>
        <w:tabs>
          <w:tab w:val="left" w:pos="396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</w:p>
    <w:tbl>
      <w:tblPr>
        <w:tblW w:w="10214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214"/>
        <w:gridCol w:w="6506"/>
      </w:tblGrid>
      <w:tr w:rsidR="00AF49CD" w:rsidRPr="00B64D02" w:rsidTr="004D7369">
        <w:tc>
          <w:tcPr>
            <w:tcW w:w="49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1.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5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ind w:left="-38" w:hanging="1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Відділ «Центр надання адміністративних послуг» Новоушицької селищної ради</w:t>
            </w:r>
          </w:p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B64D02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Адреса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: вул. Подільська буд.12, </w:t>
            </w:r>
            <w:proofErr w:type="spellStart"/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смт</w:t>
            </w:r>
            <w:proofErr w:type="spellEnd"/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. Нова </w:t>
            </w:r>
            <w:proofErr w:type="spellStart"/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Ушиця</w:t>
            </w:r>
            <w:proofErr w:type="spellEnd"/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Новоушицького району Хмельницької області,  32600</w:t>
            </w:r>
          </w:p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proofErr w:type="spellStart"/>
            <w:r w:rsidRPr="00B64D02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Тел</w:t>
            </w:r>
            <w:proofErr w:type="spellEnd"/>
            <w:r w:rsidRPr="00B64D02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.</w:t>
            </w:r>
            <w:r w:rsidRPr="00B64D02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:</w:t>
            </w:r>
            <w:r w:rsidRPr="00B64D02">
              <w:rPr>
                <w:rFonts w:ascii="Times New Roman" w:eastAsia="Times New Roman" w:hAnsi="Times New Roman" w:cs="Times New Roman"/>
                <w:iCs/>
                <w:kern w:val="3"/>
                <w:lang w:val="uk-UA" w:eastAsia="uk-UA"/>
              </w:rPr>
              <w:t xml:space="preserve"> 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/>
              </w:rPr>
              <w:t>(03847) 3-00-55</w:t>
            </w:r>
          </w:p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B64D02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 xml:space="preserve">Веб-сайт: </w:t>
            </w:r>
            <w:r w:rsidRPr="00B64D02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http://</w:t>
            </w:r>
            <w:r w:rsidRPr="00B64D02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val="en-US" w:eastAsia="uk-UA"/>
              </w:rPr>
              <w:t>www</w:t>
            </w:r>
            <w:r w:rsidRPr="00B64D02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.</w:t>
            </w:r>
            <w:r w:rsidRPr="00B64D02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 xml:space="preserve"> </w:t>
            </w:r>
            <w:r w:rsidRPr="00B64D02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http://novagromada.gov.ua/</w:t>
            </w:r>
          </w:p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proofErr w:type="spellStart"/>
            <w:r w:rsidRPr="00B64D02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cnap</w:t>
            </w:r>
            <w:proofErr w:type="spellEnd"/>
            <w:r w:rsidRPr="00B64D02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_</w:t>
            </w:r>
            <w:r w:rsidRPr="00B64D02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nu</w:t>
            </w:r>
            <w:r w:rsidRPr="00B64D02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_</w:t>
            </w:r>
            <w:proofErr w:type="spellStart"/>
            <w:r w:rsidRPr="00B64D02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otg</w:t>
            </w:r>
            <w:proofErr w:type="spellEnd"/>
            <w:r w:rsidRPr="00B64D02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@ukr.net</w:t>
            </w:r>
          </w:p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Режим роботи ЦНАП:</w:t>
            </w:r>
          </w:p>
          <w:p w:rsidR="00AF49CD" w:rsidRDefault="00AF49CD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Понеділок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8.00 до 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7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.00,  </w:t>
            </w:r>
          </w:p>
          <w:p w:rsidR="00AF49CD" w:rsidRPr="005818E0" w:rsidRDefault="00AF49CD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вівторок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середа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</w:t>
            </w:r>
            <w:r w:rsidRPr="0067617E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 з 8.00 до 16.00,  </w:t>
            </w:r>
          </w:p>
          <w:p w:rsidR="00AF49CD" w:rsidRPr="005818E0" w:rsidRDefault="00AF49CD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четвер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8.00 до 20.00,     </w:t>
            </w:r>
          </w:p>
          <w:p w:rsidR="00AF49CD" w:rsidRDefault="00AF49CD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gram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без перерви</w:t>
            </w:r>
            <w:proofErr w:type="gram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на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обід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</w:p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ind w:left="57" w:hanging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вихідний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субота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,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неділя</w:t>
            </w:r>
            <w:proofErr w:type="spellEnd"/>
          </w:p>
        </w:tc>
      </w:tr>
      <w:tr w:rsidR="00AF49CD" w:rsidRPr="00B64D02" w:rsidTr="004D7369">
        <w:tc>
          <w:tcPr>
            <w:tcW w:w="49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2.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5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AF49CD">
            <w:pPr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B64D02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 xml:space="preserve">Заява 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про державну реєстрацію переходу з модельного статуту на діяльність на підставі власного установчого документа.</w:t>
            </w:r>
          </w:p>
          <w:p w:rsidR="00AF49CD" w:rsidRPr="00B64D02" w:rsidRDefault="00AF49CD" w:rsidP="00AF49CD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B64D02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Примірник оригіналу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(нотаріально засвідчена копія) </w:t>
            </w:r>
            <w:r w:rsidRPr="00B64D02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рішення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уповноваженого органу управління юридичної особи </w:t>
            </w:r>
            <w:r w:rsidRPr="00B64D02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про перехід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на діяльність на підставі власного установчого документа та затвердження установчого документа.</w:t>
            </w:r>
          </w:p>
          <w:p w:rsidR="00AF49CD" w:rsidRPr="00B64D02" w:rsidRDefault="00AF49CD" w:rsidP="00AF49CD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B64D02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Установчий документ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юридичної особи.</w:t>
            </w:r>
          </w:p>
          <w:p w:rsidR="00AF49CD" w:rsidRPr="00B64D02" w:rsidRDefault="00AF49CD" w:rsidP="00AF49CD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B64D02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Примірник оригіналу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(нотаріально засвідчена копія) </w:t>
            </w:r>
            <w:r w:rsidRPr="00B64D02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документа, що засвідчує повноваження представника засновника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AF49CD" w:rsidRPr="00B64D02" w:rsidRDefault="00AF49CD" w:rsidP="00AF49CD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B64D02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У разі подання документів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</w:t>
            </w:r>
            <w:r w:rsidRPr="00B64D02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представником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,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 (далі – ЄДР),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AF49CD" w:rsidRPr="00B64D02" w:rsidRDefault="00AF49CD" w:rsidP="00AF49CD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B64D02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Якщо документи подаються особисто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, заявник пред'являє свій паспорт 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проживання.</w:t>
            </w:r>
          </w:p>
        </w:tc>
      </w:tr>
      <w:tr w:rsidR="00AF49CD" w:rsidRPr="00B64D02" w:rsidTr="004D7369">
        <w:tc>
          <w:tcPr>
            <w:tcW w:w="49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3.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Оплата</w:t>
            </w:r>
          </w:p>
        </w:tc>
        <w:tc>
          <w:tcPr>
            <w:tcW w:w="65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ind w:firstLine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Безоплатно</w:t>
            </w:r>
          </w:p>
        </w:tc>
      </w:tr>
      <w:tr w:rsidR="00AF49CD" w:rsidRPr="00B64D02" w:rsidTr="004D7369">
        <w:tc>
          <w:tcPr>
            <w:tcW w:w="49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4.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Результат надання  послуги</w:t>
            </w:r>
          </w:p>
        </w:tc>
        <w:tc>
          <w:tcPr>
            <w:tcW w:w="65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Внесення відповідного запису до ЄДР.</w:t>
            </w:r>
          </w:p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ind w:firstLine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Виписка з ЄДР в електронній формі – у разі внесення змін до відомостей, що відображаються у виписці.</w:t>
            </w:r>
          </w:p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Установчий документ юридичної особи в електронній формі, виготовлений шляхом сканування.</w:t>
            </w:r>
          </w:p>
        </w:tc>
      </w:tr>
      <w:tr w:rsidR="00AF49CD" w:rsidRPr="00B64D02" w:rsidTr="004D7369">
        <w:tc>
          <w:tcPr>
            <w:tcW w:w="49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5.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Строк надання послуги</w:t>
            </w:r>
          </w:p>
        </w:tc>
        <w:tc>
          <w:tcPr>
            <w:tcW w:w="65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4D7369">
            <w:pPr>
              <w:widowControl w:val="0"/>
              <w:tabs>
                <w:tab w:val="left" w:pos="21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1.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</w:t>
            </w:r>
            <w:r w:rsidRPr="00B64D02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протягом 24 годин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після надходження документів, крім вихідних та святкових днів.</w:t>
            </w:r>
          </w:p>
          <w:p w:rsidR="00AF49CD" w:rsidRPr="00B64D02" w:rsidRDefault="00AF49CD" w:rsidP="004D7369">
            <w:pPr>
              <w:widowControl w:val="0"/>
              <w:tabs>
                <w:tab w:val="left" w:pos="21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2.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AF49CD" w:rsidRPr="00B64D02" w:rsidRDefault="00AF49CD" w:rsidP="004D7369">
            <w:pPr>
              <w:widowControl w:val="0"/>
              <w:tabs>
                <w:tab w:val="left" w:pos="21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lastRenderedPageBreak/>
              <w:t>3.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Строк зупинення розгляду документів, поданих для державної реєстрації, становить 15 календарних днів з дати їх подання.</w:t>
            </w:r>
          </w:p>
        </w:tc>
      </w:tr>
      <w:tr w:rsidR="00AF49CD" w:rsidRPr="00B64D02" w:rsidTr="004D7369">
        <w:tc>
          <w:tcPr>
            <w:tcW w:w="49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lastRenderedPageBreak/>
              <w:t>6.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65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B64D02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Результати надання адміністративної послуги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у сфері державної реєстрації (у тому числі виписка з ЄДР) </w:t>
            </w:r>
            <w:r w:rsidRPr="00B64D02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оприлюднюються на порталі електронних сервісів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та доступні для їх пошуку за кодом доступу, за адресою: https://usr.minjust.gov.ua/ua/freesearch</w:t>
            </w:r>
          </w:p>
          <w:p w:rsidR="00AF49CD" w:rsidRPr="00B64D02" w:rsidRDefault="00AF49CD" w:rsidP="004D7369">
            <w:pPr>
              <w:widowControl w:val="0"/>
              <w:tabs>
                <w:tab w:val="left" w:pos="21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/>
              </w:rPr>
              <w:t>1.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/>
              </w:rPr>
              <w:t>За бажанням заявника з ЄДР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AF49CD" w:rsidRPr="00B64D02" w:rsidRDefault="00AF49CD" w:rsidP="004D7369">
            <w:pPr>
              <w:widowControl w:val="0"/>
              <w:tabs>
                <w:tab w:val="left" w:pos="21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2.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</w:tc>
      </w:tr>
      <w:tr w:rsidR="00AF49CD" w:rsidRPr="00B64D02" w:rsidTr="004D7369">
        <w:tc>
          <w:tcPr>
            <w:tcW w:w="49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7.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5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AF49CD">
            <w:pPr>
              <w:widowControl w:val="0"/>
              <w:numPr>
                <w:ilvl w:val="0"/>
                <w:numId w:val="32"/>
              </w:numPr>
              <w:tabs>
                <w:tab w:val="left" w:pos="22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 (далі </w:t>
            </w:r>
            <w:proofErr w:type="spellStart"/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–Закон</w:t>
            </w:r>
            <w:proofErr w:type="spellEnd"/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), не в повному обсязі.</w:t>
            </w:r>
          </w:p>
          <w:p w:rsidR="00AF49CD" w:rsidRPr="00B64D02" w:rsidRDefault="00AF49CD" w:rsidP="00AF49CD">
            <w:pPr>
              <w:widowControl w:val="0"/>
              <w:numPr>
                <w:ilvl w:val="0"/>
                <w:numId w:val="28"/>
              </w:numPr>
              <w:tabs>
                <w:tab w:val="left" w:pos="22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Невідповідність документів вимогам, установленим статтею 15 Закону.</w:t>
            </w:r>
          </w:p>
          <w:p w:rsidR="00AF49CD" w:rsidRPr="00B64D02" w:rsidRDefault="00AF49CD" w:rsidP="00AF49CD">
            <w:pPr>
              <w:widowControl w:val="0"/>
              <w:numPr>
                <w:ilvl w:val="0"/>
                <w:numId w:val="28"/>
              </w:numPr>
              <w:tabs>
                <w:tab w:val="left" w:pos="22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ЄДР.</w:t>
            </w:r>
          </w:p>
          <w:p w:rsidR="00AF49CD" w:rsidRPr="00B64D02" w:rsidRDefault="00AF49CD" w:rsidP="00AF49CD">
            <w:pPr>
              <w:widowControl w:val="0"/>
              <w:numPr>
                <w:ilvl w:val="0"/>
                <w:numId w:val="28"/>
              </w:numPr>
              <w:tabs>
                <w:tab w:val="left" w:pos="22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Невідповідність відомостей, зазначених у документах, поданих для державної реєстрації, відомостям, що містяться в ЄДР.</w:t>
            </w:r>
          </w:p>
          <w:p w:rsidR="00AF49CD" w:rsidRPr="00B64D02" w:rsidRDefault="00AF49CD" w:rsidP="00AF49CD">
            <w:pPr>
              <w:widowControl w:val="0"/>
              <w:numPr>
                <w:ilvl w:val="0"/>
                <w:numId w:val="28"/>
              </w:numPr>
              <w:tabs>
                <w:tab w:val="left" w:pos="22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Подання документів з порушенням встановленого законодавством строку для їх подання.</w:t>
            </w:r>
          </w:p>
        </w:tc>
      </w:tr>
      <w:tr w:rsidR="00AF49CD" w:rsidRPr="00B64D02" w:rsidTr="004D7369">
        <w:tc>
          <w:tcPr>
            <w:tcW w:w="49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8.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65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AF49CD">
            <w:pPr>
              <w:widowControl w:val="0"/>
              <w:numPr>
                <w:ilvl w:val="0"/>
                <w:numId w:val="33"/>
              </w:numPr>
              <w:tabs>
                <w:tab w:val="left" w:pos="185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Документи подано особою, яка не має на це повноважень.</w:t>
            </w:r>
          </w:p>
          <w:p w:rsidR="00AF49CD" w:rsidRPr="00B64D02" w:rsidRDefault="00AF49CD" w:rsidP="00AF49CD">
            <w:pPr>
              <w:widowControl w:val="0"/>
              <w:numPr>
                <w:ilvl w:val="0"/>
                <w:numId w:val="29"/>
              </w:numPr>
              <w:tabs>
                <w:tab w:val="left" w:pos="185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 ЄДР  містяться відомості про судове рішення щодо заборони проведення реєстраційної дії.</w:t>
            </w:r>
          </w:p>
          <w:p w:rsidR="00AF49CD" w:rsidRPr="00B64D02" w:rsidRDefault="00AF49CD" w:rsidP="00AF49CD">
            <w:pPr>
              <w:widowControl w:val="0"/>
              <w:numPr>
                <w:ilvl w:val="0"/>
                <w:numId w:val="29"/>
              </w:numPr>
              <w:tabs>
                <w:tab w:val="left" w:pos="185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 усунуто підстави для зупинення розгляду документів протягом встановленого строку.</w:t>
            </w:r>
          </w:p>
          <w:p w:rsidR="00AF49CD" w:rsidRPr="00B64D02" w:rsidRDefault="00AF49CD" w:rsidP="00AF49CD">
            <w:pPr>
              <w:widowControl w:val="0"/>
              <w:numPr>
                <w:ilvl w:val="0"/>
                <w:numId w:val="29"/>
              </w:numPr>
              <w:tabs>
                <w:tab w:val="left" w:pos="185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Документи суперечать вимогам Конституції та законів України.</w:t>
            </w:r>
          </w:p>
        </w:tc>
      </w:tr>
      <w:tr w:rsidR="00AF49CD" w:rsidRPr="00F22305" w:rsidTr="004D7369">
        <w:tc>
          <w:tcPr>
            <w:tcW w:w="49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9.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Акти законодавства щодо надання послуги</w:t>
            </w:r>
          </w:p>
        </w:tc>
        <w:tc>
          <w:tcPr>
            <w:tcW w:w="650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49CD" w:rsidRPr="00B64D02" w:rsidRDefault="00AF49CD" w:rsidP="00AF49CD">
            <w:pPr>
              <w:widowControl w:val="0"/>
              <w:numPr>
                <w:ilvl w:val="0"/>
                <w:numId w:val="34"/>
              </w:numPr>
              <w:tabs>
                <w:tab w:val="left" w:pos="185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Закон України «Про державну реєстрацію юридичних осіб, фізичних осіб – підприємців та громадських формувань» (ст. 17, 36);</w:t>
            </w:r>
          </w:p>
          <w:p w:rsidR="00AF49CD" w:rsidRPr="00B64D02" w:rsidRDefault="00AF49CD" w:rsidP="00AF49CD">
            <w:pPr>
              <w:widowControl w:val="0"/>
              <w:numPr>
                <w:ilvl w:val="0"/>
                <w:numId w:val="30"/>
              </w:numPr>
              <w:tabs>
                <w:tab w:val="left" w:pos="185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Наказ Міністерства юстиції України від 06.01.2016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br/>
              <w:t>№ 15/5 «Про затвердження форм заяв у сфері державної реєстрації юридичних осіб, фізичних осіб – підприємців та громадських формувань»;</w:t>
            </w:r>
          </w:p>
          <w:p w:rsidR="00AF49CD" w:rsidRPr="00B64D02" w:rsidRDefault="00AF49CD" w:rsidP="00AF49CD">
            <w:pPr>
              <w:widowControl w:val="0"/>
              <w:numPr>
                <w:ilvl w:val="0"/>
                <w:numId w:val="30"/>
              </w:numPr>
              <w:tabs>
                <w:tab w:val="left" w:pos="185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Наказ Міністерства юстиції України від 09.02.2016 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br/>
              <w:t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особи»;</w:t>
            </w:r>
          </w:p>
          <w:p w:rsidR="00AF49CD" w:rsidRPr="00B64D02" w:rsidRDefault="00AF49CD" w:rsidP="00AF49CD">
            <w:pPr>
              <w:widowControl w:val="0"/>
              <w:numPr>
                <w:ilvl w:val="0"/>
                <w:numId w:val="30"/>
              </w:numPr>
              <w:tabs>
                <w:tab w:val="left" w:pos="185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Наказ Міністерства юстиції України від 23.03.2016 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br/>
              <w:t xml:space="preserve">№ 784/5 «Про затвердження Порядку функціонування порталу електронних сервісів юридичних осіб, фізичних </w:t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br/>
            </w:r>
            <w:r w:rsidRPr="00B64D02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lastRenderedPageBreak/>
              <w:t>осіб – підприємців та громадських формувань, що не мають статусу юридичної особи».</w:t>
            </w:r>
          </w:p>
        </w:tc>
      </w:tr>
    </w:tbl>
    <w:p w:rsidR="00AF49CD" w:rsidRPr="00B64D02" w:rsidRDefault="00AF49CD" w:rsidP="00AF49CD">
      <w:pPr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val="uk-UA"/>
        </w:rPr>
      </w:pPr>
    </w:p>
    <w:p w:rsidR="000B1098" w:rsidRPr="00AF49CD" w:rsidRDefault="000B1098" w:rsidP="00AF49CD">
      <w:pPr>
        <w:rPr>
          <w:lang w:val="uk-UA"/>
        </w:rPr>
      </w:pPr>
      <w:bookmarkStart w:id="0" w:name="_GoBack"/>
      <w:bookmarkEnd w:id="0"/>
    </w:p>
    <w:sectPr w:rsidR="000B1098" w:rsidRPr="00AF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EB9"/>
    <w:multiLevelType w:val="multilevel"/>
    <w:tmpl w:val="5A90B0C0"/>
    <w:styleLink w:val="WWNum4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D7339DD"/>
    <w:multiLevelType w:val="multilevel"/>
    <w:tmpl w:val="29D661E2"/>
    <w:styleLink w:val="WWNum4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0F50CDB"/>
    <w:multiLevelType w:val="multilevel"/>
    <w:tmpl w:val="D34A763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5490C78"/>
    <w:multiLevelType w:val="multilevel"/>
    <w:tmpl w:val="064E2356"/>
    <w:styleLink w:val="WWNum4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889481D"/>
    <w:multiLevelType w:val="multilevel"/>
    <w:tmpl w:val="7FA09F7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7D05F9C"/>
    <w:multiLevelType w:val="multilevel"/>
    <w:tmpl w:val="43126FD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7DF14C9"/>
    <w:multiLevelType w:val="multilevel"/>
    <w:tmpl w:val="1F0687C4"/>
    <w:styleLink w:val="WWNum1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11C0626"/>
    <w:multiLevelType w:val="multilevel"/>
    <w:tmpl w:val="FC5E2A88"/>
    <w:styleLink w:val="WWNum4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3D91B16"/>
    <w:multiLevelType w:val="multilevel"/>
    <w:tmpl w:val="83688E1E"/>
    <w:styleLink w:val="WWNum16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46FE4322"/>
    <w:multiLevelType w:val="multilevel"/>
    <w:tmpl w:val="893E78B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7B1230C"/>
    <w:multiLevelType w:val="multilevel"/>
    <w:tmpl w:val="5C4420F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525955BB"/>
    <w:multiLevelType w:val="multilevel"/>
    <w:tmpl w:val="828E2524"/>
    <w:styleLink w:val="WWNum80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3F0733D"/>
    <w:multiLevelType w:val="multilevel"/>
    <w:tmpl w:val="8C6453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6B77D4C"/>
    <w:multiLevelType w:val="multilevel"/>
    <w:tmpl w:val="615A478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69472282"/>
    <w:multiLevelType w:val="multilevel"/>
    <w:tmpl w:val="0EDA3CAE"/>
    <w:styleLink w:val="WWNum17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76D06857"/>
    <w:multiLevelType w:val="multilevel"/>
    <w:tmpl w:val="2730A9E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5"/>
  </w:num>
  <w:num w:numId="12">
    <w:abstractNumId w:val="7"/>
  </w:num>
  <w:num w:numId="13">
    <w:abstractNumId w:val="16"/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1"/>
  </w:num>
  <w:num w:numId="20">
    <w:abstractNumId w:val="10"/>
  </w:num>
  <w:num w:numId="21">
    <w:abstractNumId w:val="6"/>
  </w:num>
  <w:num w:numId="22">
    <w:abstractNumId w:val="12"/>
  </w:num>
  <w:num w:numId="23">
    <w:abstractNumId w:val="12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1"/>
  </w:num>
  <w:num w:numId="28">
    <w:abstractNumId w:val="8"/>
  </w:num>
  <w:num w:numId="29">
    <w:abstractNumId w:val="0"/>
  </w:num>
  <w:num w:numId="30">
    <w:abstractNumId w:val="3"/>
  </w:num>
  <w:num w:numId="31">
    <w:abstractNumId w:val="1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C"/>
    <w:rsid w:val="000B1098"/>
    <w:rsid w:val="00164A26"/>
    <w:rsid w:val="001D5E27"/>
    <w:rsid w:val="0020156C"/>
    <w:rsid w:val="003D4690"/>
    <w:rsid w:val="005B48A4"/>
    <w:rsid w:val="00632F74"/>
    <w:rsid w:val="006678B8"/>
    <w:rsid w:val="009B246D"/>
    <w:rsid w:val="00A22848"/>
    <w:rsid w:val="00AF49CD"/>
    <w:rsid w:val="00C42E0E"/>
    <w:rsid w:val="00C5607E"/>
    <w:rsid w:val="00C702FF"/>
    <w:rsid w:val="00C74F50"/>
    <w:rsid w:val="00CB265F"/>
    <w:rsid w:val="00E0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C5607E"/>
    <w:pPr>
      <w:numPr>
        <w:numId w:val="1"/>
      </w:numPr>
    </w:pPr>
  </w:style>
  <w:style w:type="numbering" w:customStyle="1" w:styleId="WWNum2">
    <w:name w:val="WWNum2"/>
    <w:basedOn w:val="a2"/>
    <w:rsid w:val="00C5607E"/>
    <w:pPr>
      <w:numPr>
        <w:numId w:val="2"/>
      </w:numPr>
    </w:pPr>
  </w:style>
  <w:style w:type="numbering" w:customStyle="1" w:styleId="WWNum6">
    <w:name w:val="WWNum6"/>
    <w:basedOn w:val="a2"/>
    <w:rsid w:val="00C5607E"/>
    <w:pPr>
      <w:numPr>
        <w:numId w:val="3"/>
      </w:numPr>
    </w:pPr>
  </w:style>
  <w:style w:type="numbering" w:customStyle="1" w:styleId="WWNum7">
    <w:name w:val="WWNum7"/>
    <w:basedOn w:val="a2"/>
    <w:rsid w:val="00C5607E"/>
    <w:pPr>
      <w:numPr>
        <w:numId w:val="4"/>
      </w:numPr>
    </w:pPr>
  </w:style>
  <w:style w:type="numbering" w:customStyle="1" w:styleId="WWNum78">
    <w:name w:val="WWNum78"/>
    <w:basedOn w:val="a2"/>
    <w:rsid w:val="00C5607E"/>
    <w:pPr>
      <w:numPr>
        <w:numId w:val="5"/>
      </w:numPr>
    </w:pPr>
  </w:style>
  <w:style w:type="numbering" w:customStyle="1" w:styleId="WWNum5">
    <w:name w:val="WWNum5"/>
    <w:basedOn w:val="a2"/>
    <w:rsid w:val="00E07D80"/>
    <w:pPr>
      <w:numPr>
        <w:numId w:val="13"/>
      </w:numPr>
    </w:pPr>
  </w:style>
  <w:style w:type="numbering" w:customStyle="1" w:styleId="WWNum161">
    <w:name w:val="WWNum161"/>
    <w:basedOn w:val="a2"/>
    <w:rsid w:val="00E07D80"/>
    <w:pPr>
      <w:numPr>
        <w:numId w:val="14"/>
      </w:numPr>
    </w:pPr>
  </w:style>
  <w:style w:type="numbering" w:customStyle="1" w:styleId="WWNum171">
    <w:name w:val="WWNum171"/>
    <w:basedOn w:val="a2"/>
    <w:rsid w:val="00E07D80"/>
    <w:pPr>
      <w:numPr>
        <w:numId w:val="11"/>
      </w:numPr>
    </w:pPr>
  </w:style>
  <w:style w:type="numbering" w:customStyle="1" w:styleId="WWNum181">
    <w:name w:val="WWNum181"/>
    <w:basedOn w:val="a2"/>
    <w:rsid w:val="00E07D80"/>
    <w:pPr>
      <w:numPr>
        <w:numId w:val="12"/>
      </w:numPr>
    </w:pPr>
  </w:style>
  <w:style w:type="numbering" w:customStyle="1" w:styleId="WWNum8">
    <w:name w:val="WWNum8"/>
    <w:basedOn w:val="a2"/>
    <w:rsid w:val="00CB265F"/>
    <w:pPr>
      <w:numPr>
        <w:numId w:val="19"/>
      </w:numPr>
    </w:pPr>
  </w:style>
  <w:style w:type="numbering" w:customStyle="1" w:styleId="WWNum9">
    <w:name w:val="WWNum9"/>
    <w:basedOn w:val="a2"/>
    <w:rsid w:val="00CB265F"/>
    <w:pPr>
      <w:numPr>
        <w:numId w:val="20"/>
      </w:numPr>
    </w:pPr>
  </w:style>
  <w:style w:type="numbering" w:customStyle="1" w:styleId="WWNum10">
    <w:name w:val="WWNum10"/>
    <w:basedOn w:val="a2"/>
    <w:rsid w:val="00CB265F"/>
    <w:pPr>
      <w:numPr>
        <w:numId w:val="21"/>
      </w:numPr>
    </w:pPr>
  </w:style>
  <w:style w:type="numbering" w:customStyle="1" w:styleId="WWNum80">
    <w:name w:val="WWNum80"/>
    <w:basedOn w:val="a2"/>
    <w:rsid w:val="00CB265F"/>
    <w:pPr>
      <w:numPr>
        <w:numId w:val="22"/>
      </w:numPr>
    </w:pPr>
  </w:style>
  <w:style w:type="numbering" w:customStyle="1" w:styleId="WWNum451">
    <w:name w:val="WWNum451"/>
    <w:basedOn w:val="a2"/>
    <w:rsid w:val="00AF49CD"/>
    <w:pPr>
      <w:numPr>
        <w:numId w:val="28"/>
      </w:numPr>
    </w:pPr>
  </w:style>
  <w:style w:type="numbering" w:customStyle="1" w:styleId="WWNum461">
    <w:name w:val="WWNum461"/>
    <w:basedOn w:val="a2"/>
    <w:rsid w:val="00AF49CD"/>
    <w:pPr>
      <w:numPr>
        <w:numId w:val="29"/>
      </w:numPr>
    </w:pPr>
  </w:style>
  <w:style w:type="numbering" w:customStyle="1" w:styleId="WWNum471">
    <w:name w:val="WWNum471"/>
    <w:basedOn w:val="a2"/>
    <w:rsid w:val="00AF49CD"/>
    <w:pPr>
      <w:numPr>
        <w:numId w:val="30"/>
      </w:numPr>
    </w:pPr>
  </w:style>
  <w:style w:type="numbering" w:customStyle="1" w:styleId="WWNum481">
    <w:name w:val="WWNum481"/>
    <w:basedOn w:val="a2"/>
    <w:rsid w:val="00AF49CD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C5607E"/>
    <w:pPr>
      <w:numPr>
        <w:numId w:val="1"/>
      </w:numPr>
    </w:pPr>
  </w:style>
  <w:style w:type="numbering" w:customStyle="1" w:styleId="WWNum2">
    <w:name w:val="WWNum2"/>
    <w:basedOn w:val="a2"/>
    <w:rsid w:val="00C5607E"/>
    <w:pPr>
      <w:numPr>
        <w:numId w:val="2"/>
      </w:numPr>
    </w:pPr>
  </w:style>
  <w:style w:type="numbering" w:customStyle="1" w:styleId="WWNum6">
    <w:name w:val="WWNum6"/>
    <w:basedOn w:val="a2"/>
    <w:rsid w:val="00C5607E"/>
    <w:pPr>
      <w:numPr>
        <w:numId w:val="3"/>
      </w:numPr>
    </w:pPr>
  </w:style>
  <w:style w:type="numbering" w:customStyle="1" w:styleId="WWNum7">
    <w:name w:val="WWNum7"/>
    <w:basedOn w:val="a2"/>
    <w:rsid w:val="00C5607E"/>
    <w:pPr>
      <w:numPr>
        <w:numId w:val="4"/>
      </w:numPr>
    </w:pPr>
  </w:style>
  <w:style w:type="numbering" w:customStyle="1" w:styleId="WWNum78">
    <w:name w:val="WWNum78"/>
    <w:basedOn w:val="a2"/>
    <w:rsid w:val="00C5607E"/>
    <w:pPr>
      <w:numPr>
        <w:numId w:val="5"/>
      </w:numPr>
    </w:pPr>
  </w:style>
  <w:style w:type="numbering" w:customStyle="1" w:styleId="WWNum5">
    <w:name w:val="WWNum5"/>
    <w:basedOn w:val="a2"/>
    <w:rsid w:val="00E07D80"/>
    <w:pPr>
      <w:numPr>
        <w:numId w:val="13"/>
      </w:numPr>
    </w:pPr>
  </w:style>
  <w:style w:type="numbering" w:customStyle="1" w:styleId="WWNum161">
    <w:name w:val="WWNum161"/>
    <w:basedOn w:val="a2"/>
    <w:rsid w:val="00E07D80"/>
    <w:pPr>
      <w:numPr>
        <w:numId w:val="14"/>
      </w:numPr>
    </w:pPr>
  </w:style>
  <w:style w:type="numbering" w:customStyle="1" w:styleId="WWNum171">
    <w:name w:val="WWNum171"/>
    <w:basedOn w:val="a2"/>
    <w:rsid w:val="00E07D80"/>
    <w:pPr>
      <w:numPr>
        <w:numId w:val="11"/>
      </w:numPr>
    </w:pPr>
  </w:style>
  <w:style w:type="numbering" w:customStyle="1" w:styleId="WWNum181">
    <w:name w:val="WWNum181"/>
    <w:basedOn w:val="a2"/>
    <w:rsid w:val="00E07D80"/>
    <w:pPr>
      <w:numPr>
        <w:numId w:val="12"/>
      </w:numPr>
    </w:pPr>
  </w:style>
  <w:style w:type="numbering" w:customStyle="1" w:styleId="WWNum8">
    <w:name w:val="WWNum8"/>
    <w:basedOn w:val="a2"/>
    <w:rsid w:val="00CB265F"/>
    <w:pPr>
      <w:numPr>
        <w:numId w:val="19"/>
      </w:numPr>
    </w:pPr>
  </w:style>
  <w:style w:type="numbering" w:customStyle="1" w:styleId="WWNum9">
    <w:name w:val="WWNum9"/>
    <w:basedOn w:val="a2"/>
    <w:rsid w:val="00CB265F"/>
    <w:pPr>
      <w:numPr>
        <w:numId w:val="20"/>
      </w:numPr>
    </w:pPr>
  </w:style>
  <w:style w:type="numbering" w:customStyle="1" w:styleId="WWNum10">
    <w:name w:val="WWNum10"/>
    <w:basedOn w:val="a2"/>
    <w:rsid w:val="00CB265F"/>
    <w:pPr>
      <w:numPr>
        <w:numId w:val="21"/>
      </w:numPr>
    </w:pPr>
  </w:style>
  <w:style w:type="numbering" w:customStyle="1" w:styleId="WWNum80">
    <w:name w:val="WWNum80"/>
    <w:basedOn w:val="a2"/>
    <w:rsid w:val="00CB265F"/>
    <w:pPr>
      <w:numPr>
        <w:numId w:val="22"/>
      </w:numPr>
    </w:pPr>
  </w:style>
  <w:style w:type="numbering" w:customStyle="1" w:styleId="WWNum451">
    <w:name w:val="WWNum451"/>
    <w:basedOn w:val="a2"/>
    <w:rsid w:val="00AF49CD"/>
    <w:pPr>
      <w:numPr>
        <w:numId w:val="28"/>
      </w:numPr>
    </w:pPr>
  </w:style>
  <w:style w:type="numbering" w:customStyle="1" w:styleId="WWNum461">
    <w:name w:val="WWNum461"/>
    <w:basedOn w:val="a2"/>
    <w:rsid w:val="00AF49CD"/>
    <w:pPr>
      <w:numPr>
        <w:numId w:val="29"/>
      </w:numPr>
    </w:pPr>
  </w:style>
  <w:style w:type="numbering" w:customStyle="1" w:styleId="WWNum471">
    <w:name w:val="WWNum471"/>
    <w:basedOn w:val="a2"/>
    <w:rsid w:val="00AF49CD"/>
    <w:pPr>
      <w:numPr>
        <w:numId w:val="30"/>
      </w:numPr>
    </w:pPr>
  </w:style>
  <w:style w:type="numbering" w:customStyle="1" w:styleId="WWNum481">
    <w:name w:val="WWNum481"/>
    <w:basedOn w:val="a2"/>
    <w:rsid w:val="00AF49C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2021-07-21T11:58:00Z</dcterms:created>
  <dcterms:modified xsi:type="dcterms:W3CDTF">2021-07-21T11:58:00Z</dcterms:modified>
</cp:coreProperties>
</file>