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38" w:rsidRPr="00347628" w:rsidRDefault="002C4938" w:rsidP="002C493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454970" wp14:editId="191F3AA3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НОВОУШИЦЬКА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СЕЛИЩНА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РАДА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628"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4"/>
          <w:szCs w:val="24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4"/>
          <w:szCs w:val="24"/>
          <w:lang w:val="uk-UA"/>
        </w:rPr>
        <w:t>ОБ’ЄДНАНОЇ</w:t>
      </w:r>
      <w:r w:rsidR="00107DA1" w:rsidRPr="003476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4"/>
          <w:szCs w:val="24"/>
          <w:lang w:val="uk-UA"/>
        </w:rPr>
        <w:t>ГРОМАДИ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938" w:rsidRPr="00347628" w:rsidRDefault="002C4938" w:rsidP="002C4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VIIІ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5BEA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смт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Нова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Ушиця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2C4938" w:rsidRPr="00347628" w:rsidTr="002C4938">
        <w:tc>
          <w:tcPr>
            <w:tcW w:w="9854" w:type="dxa"/>
            <w:shd w:val="clear" w:color="auto" w:fill="auto"/>
          </w:tcPr>
          <w:p w:rsidR="002C4938" w:rsidRPr="00347628" w:rsidRDefault="002C4938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затвердження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Програми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розвитку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первинної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медико-санітарної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допомоги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Новоушицької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територіальної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громади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2021-2025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роки</w:t>
            </w:r>
          </w:p>
        </w:tc>
      </w:tr>
    </w:tbl>
    <w:p w:rsidR="005412FE" w:rsidRPr="00347628" w:rsidRDefault="005412FE" w:rsidP="00BD57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2C4938" w:rsidP="00BD57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Бюджетного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місцеве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державні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фінансові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гарантії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деяких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законодавчих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актів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№391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надавача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головними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розпорядниками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бюджетних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укладаються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договори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№283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коштів,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передбачених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державному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бюджеті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№1075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вибору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допомогу,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декларації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вибір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1998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1303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безоплатного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пільгового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відпуску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лікарських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рецептами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амбулаторного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певними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категоріями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захворювань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Концепції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реформи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схваленої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розпорядженням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№1013-р,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№504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№148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Примірного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табеля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матеріально-технічного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фізичних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осіб-підприємців,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№241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організацію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інвалідів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інвалідів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технічними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іншими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lastRenderedPageBreak/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доступності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медично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дооснащення</w:t>
      </w:r>
      <w:proofErr w:type="spellEnd"/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амбулаторій,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фельдшерських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необхідним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медичним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обладнанням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641" w:rsidRPr="00347628">
        <w:rPr>
          <w:rFonts w:ascii="Times New Roman" w:hAnsi="Times New Roman" w:cs="Times New Roman"/>
          <w:sz w:val="28"/>
          <w:szCs w:val="28"/>
          <w:lang w:val="uk-UA"/>
        </w:rPr>
        <w:t>враховуючи рішення виконавчого комітету селищної ради від 17 грудня 2020 року № 7,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:rsidR="004C7B80" w:rsidRPr="00347628" w:rsidRDefault="004C7B80" w:rsidP="00BD57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2C4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D57B8" w:rsidRPr="00347628" w:rsidRDefault="00BD57B8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F17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A6A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A6A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A2F"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A2F" w:rsidRPr="00347628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5164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далі – Програма), що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="00157A39" w:rsidRPr="00347628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57B8" w:rsidRPr="00347628" w:rsidRDefault="00BD57B8" w:rsidP="00BD57B8">
      <w:pPr>
        <w:tabs>
          <w:tab w:val="left" w:pos="2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4569F">
      <w:pPr>
        <w:tabs>
          <w:tab w:val="left" w:pos="25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628">
        <w:rPr>
          <w:rFonts w:ascii="Times New Roman" w:hAnsi="Times New Roman"/>
          <w:sz w:val="28"/>
          <w:szCs w:val="28"/>
          <w:lang w:val="uk-UA"/>
        </w:rPr>
        <w:t>2</w:t>
      </w:r>
      <w:r w:rsidR="0014569F" w:rsidRPr="0034762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7628">
        <w:rPr>
          <w:rFonts w:ascii="Times New Roman" w:hAnsi="Times New Roman"/>
          <w:sz w:val="28"/>
          <w:szCs w:val="28"/>
          <w:lang w:val="uk-UA"/>
        </w:rPr>
        <w:t>Головному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лікарю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A2F" w:rsidRPr="00347628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A2F" w:rsidRPr="0034762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5A58A2" w:rsidRPr="00347628">
        <w:rPr>
          <w:rFonts w:ascii="Times New Roman" w:hAnsi="Times New Roman"/>
          <w:sz w:val="28"/>
          <w:szCs w:val="28"/>
          <w:lang w:val="uk-UA"/>
        </w:rPr>
        <w:t>Новоушицький</w:t>
      </w:r>
      <w:proofErr w:type="spellEnd"/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ц</w:t>
      </w:r>
      <w:r w:rsidRPr="00347628">
        <w:rPr>
          <w:rFonts w:ascii="Times New Roman" w:hAnsi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первинн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A2F" w:rsidRPr="00347628">
        <w:rPr>
          <w:rFonts w:ascii="Times New Roman" w:hAnsi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A39" w:rsidRPr="00347628">
        <w:rPr>
          <w:rFonts w:ascii="Times New Roman" w:hAnsi="Times New Roman"/>
          <w:sz w:val="28"/>
          <w:szCs w:val="28"/>
          <w:lang w:val="uk-UA"/>
        </w:rPr>
        <w:t xml:space="preserve">Наталії ФІНАГЕЄВІЙ </w:t>
      </w:r>
      <w:r w:rsidRPr="00347628">
        <w:rPr>
          <w:rFonts w:ascii="Times New Roman" w:hAnsi="Times New Roman"/>
          <w:sz w:val="28"/>
          <w:szCs w:val="28"/>
          <w:lang w:val="uk-UA"/>
        </w:rPr>
        <w:t>забезпечити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реалізацію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передбачених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Програмою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заходів.</w:t>
      </w:r>
    </w:p>
    <w:p w:rsidR="007D2694" w:rsidRPr="00347628" w:rsidRDefault="007D2694" w:rsidP="00BD5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694" w:rsidRPr="00347628" w:rsidRDefault="0014569F" w:rsidP="00BD5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628">
        <w:rPr>
          <w:rFonts w:ascii="Times New Roman" w:hAnsi="Times New Roman"/>
          <w:sz w:val="28"/>
          <w:szCs w:val="28"/>
          <w:lang w:val="uk-UA"/>
        </w:rPr>
        <w:t>3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.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Відділу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фінансів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при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підготовці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бюджету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2021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рік,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плануванні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бюджету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подальші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роки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7AB" w:rsidRPr="00347628">
        <w:rPr>
          <w:rFonts w:ascii="Times New Roman" w:hAnsi="Times New Roman"/>
          <w:sz w:val="28"/>
          <w:szCs w:val="28"/>
          <w:lang w:val="uk-UA"/>
        </w:rPr>
        <w:t>(при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7AB" w:rsidRPr="00347628">
        <w:rPr>
          <w:rFonts w:ascii="Times New Roman" w:hAnsi="Times New Roman"/>
          <w:sz w:val="28"/>
          <w:szCs w:val="28"/>
          <w:lang w:val="uk-UA"/>
        </w:rPr>
        <w:t>наявності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7AB" w:rsidRPr="00347628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7AB" w:rsidRPr="00347628">
        <w:rPr>
          <w:rFonts w:ascii="Times New Roman" w:hAnsi="Times New Roman"/>
          <w:sz w:val="28"/>
          <w:szCs w:val="28"/>
          <w:lang w:val="uk-UA"/>
        </w:rPr>
        <w:t>ресурсу)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передбачати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кошти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заходів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641" w:rsidRPr="00347628">
        <w:rPr>
          <w:rFonts w:ascii="Times New Roman" w:hAnsi="Times New Roman"/>
          <w:sz w:val="28"/>
          <w:szCs w:val="28"/>
          <w:lang w:val="uk-UA"/>
        </w:rPr>
        <w:t>П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рограми.</w:t>
      </w:r>
    </w:p>
    <w:p w:rsidR="007D2694" w:rsidRPr="00347628" w:rsidRDefault="007D2694" w:rsidP="00BD5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7264" w:rsidRPr="00347628" w:rsidRDefault="0014569F" w:rsidP="00BD5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7628">
        <w:rPr>
          <w:rFonts w:ascii="Times New Roman" w:hAnsi="Times New Roman"/>
          <w:sz w:val="28"/>
          <w:szCs w:val="28"/>
          <w:lang w:val="uk-UA"/>
        </w:rPr>
        <w:t>4</w:t>
      </w:r>
      <w:r w:rsidR="00C45316" w:rsidRPr="00347628">
        <w:rPr>
          <w:rFonts w:ascii="Times New Roman" w:hAnsi="Times New Roman"/>
          <w:sz w:val="28"/>
          <w:szCs w:val="28"/>
          <w:lang w:val="uk-UA"/>
        </w:rPr>
        <w:t>.</w:t>
      </w:r>
      <w:r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Контроль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виконанням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рішення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покласти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постійні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комісії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питань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планування,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фінансів,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бюджету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інвестицій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питань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освіти,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молоді,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фізкультури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населення.</w:t>
      </w:r>
    </w:p>
    <w:p w:rsidR="00E53367" w:rsidRPr="00347628" w:rsidRDefault="00E53367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4F1" w:rsidRPr="00347628" w:rsidRDefault="005264F1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367" w:rsidRPr="00347628" w:rsidRDefault="005264F1" w:rsidP="002C4938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Селищний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14D1" w:rsidRPr="00347628">
        <w:rPr>
          <w:rFonts w:ascii="Times New Roman" w:hAnsi="Times New Roman" w:cs="Times New Roman"/>
          <w:b/>
          <w:sz w:val="28"/>
          <w:szCs w:val="28"/>
          <w:lang w:val="uk-UA"/>
        </w:rPr>
        <w:tab/>
        <w:t>Анатолій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A39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</w:t>
      </w:r>
    </w:p>
    <w:p w:rsidR="00975BEA" w:rsidRDefault="00975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5BEA" w:rsidRDefault="00975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975BEA" w:rsidSect="00975BEA">
          <w:headerReference w:type="default" r:id="rId10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 w:charSpace="-2049"/>
        </w:sectPr>
      </w:pPr>
    </w:p>
    <w:tbl>
      <w:tblPr>
        <w:tblStyle w:val="af0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4569F" w:rsidRPr="00347628" w:rsidTr="00C51641">
        <w:trPr>
          <w:jc w:val="right"/>
        </w:trPr>
        <w:tc>
          <w:tcPr>
            <w:tcW w:w="4927" w:type="dxa"/>
          </w:tcPr>
          <w:p w:rsidR="0014569F" w:rsidRPr="00347628" w:rsidRDefault="0014569F" w:rsidP="00C51641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347628">
              <w:rPr>
                <w:rStyle w:val="normaltextrun"/>
                <w:sz w:val="28"/>
                <w:szCs w:val="28"/>
              </w:rPr>
              <w:lastRenderedPageBreak/>
              <w:t>ЗАТВЕРДЖЕНО</w:t>
            </w:r>
          </w:p>
          <w:p w:rsidR="0014569F" w:rsidRPr="00347628" w:rsidRDefault="0014569F" w:rsidP="00C51641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347628">
              <w:rPr>
                <w:rStyle w:val="normaltextrun"/>
                <w:sz w:val="28"/>
                <w:szCs w:val="28"/>
              </w:rPr>
              <w:t>Рішення Новоушицької селищної ради</w:t>
            </w:r>
          </w:p>
          <w:p w:rsidR="0014569F" w:rsidRPr="00347628" w:rsidRDefault="0014569F" w:rsidP="00975BEA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347628">
              <w:rPr>
                <w:rStyle w:val="normaltextrun"/>
                <w:sz w:val="28"/>
                <w:szCs w:val="28"/>
              </w:rPr>
              <w:t>24 грудня 2020 року №</w:t>
            </w:r>
            <w:r w:rsidR="00975BEA">
              <w:rPr>
                <w:rStyle w:val="normaltextrun"/>
                <w:sz w:val="28"/>
                <w:szCs w:val="28"/>
              </w:rPr>
              <w:t xml:space="preserve"> 15</w:t>
            </w:r>
          </w:p>
        </w:tc>
      </w:tr>
    </w:tbl>
    <w:p w:rsidR="0014569F" w:rsidRPr="00347628" w:rsidRDefault="0014569F" w:rsidP="0014569F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  <w:lang w:val="uk-UA"/>
        </w:rPr>
      </w:pPr>
    </w:p>
    <w:p w:rsidR="00E67264" w:rsidRPr="00347628" w:rsidRDefault="0014569F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45316"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b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b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b/>
          <w:sz w:val="28"/>
          <w:szCs w:val="28"/>
          <w:lang w:val="uk-UA"/>
        </w:rPr>
        <w:t>допомоги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7A6A" w:rsidRPr="00347628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7A6A" w:rsidRPr="00347628">
        <w:rPr>
          <w:rFonts w:ascii="Times New Roman" w:hAnsi="Times New Roman" w:cs="Times New Roman"/>
          <w:b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202"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202" w:rsidRPr="00347628">
        <w:rPr>
          <w:rFonts w:ascii="Times New Roman" w:hAnsi="Times New Roman" w:cs="Times New Roman"/>
          <w:b/>
          <w:sz w:val="28"/>
          <w:szCs w:val="28"/>
          <w:lang w:val="uk-UA"/>
        </w:rPr>
        <w:t>2021-2025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6E63D9" w:rsidRPr="00347628" w:rsidRDefault="006E63D9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264" w:rsidRPr="00347628" w:rsidRDefault="00157202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6E63D9" w:rsidRPr="00347628" w:rsidRDefault="006E63D9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6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5919"/>
      </w:tblGrid>
      <w:tr w:rsidR="0014569F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Розробник програми </w:t>
            </w:r>
          </w:p>
        </w:tc>
        <w:tc>
          <w:tcPr>
            <w:tcW w:w="59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</w:t>
            </w:r>
            <w:proofErr w:type="spellStart"/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Новоушицький</w:t>
            </w:r>
            <w:proofErr w:type="spellEnd"/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первинної медико-санітарної допомоги» Новоушицької селищної ради </w:t>
            </w:r>
          </w:p>
        </w:tc>
      </w:tr>
      <w:tr w:rsidR="0014569F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Відповідальні виконавці програми </w:t>
            </w:r>
          </w:p>
        </w:tc>
        <w:tc>
          <w:tcPr>
            <w:tcW w:w="59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7264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157202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Законодавча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157202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місцеве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самоврядування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Україні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Бюджетний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України,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рекомендації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Міністерства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реформуванню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первинної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ланки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медичної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допомоги</w:t>
            </w:r>
          </w:p>
        </w:tc>
      </w:tr>
      <w:tr w:rsidR="0014569F" w:rsidRPr="00347628" w:rsidTr="0014569F">
        <w:trPr>
          <w:trHeight w:val="7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C5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</w:t>
            </w:r>
            <w:proofErr w:type="spellStart"/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Новоушицький</w:t>
            </w:r>
            <w:proofErr w:type="spellEnd"/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первинної медико-санітарної допомоги» Новоушицької селищної ради </w:t>
            </w:r>
          </w:p>
        </w:tc>
      </w:tr>
      <w:tr w:rsidR="00E67264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2C6526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14569F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заборонені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законодавством</w:t>
            </w:r>
          </w:p>
        </w:tc>
      </w:tr>
      <w:tr w:rsidR="00E67264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C45316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реалізації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2C6526" w:rsidP="00BD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4531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</w:tr>
      <w:tr w:rsidR="00E67264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2C6526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фінансових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ресурсів,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необхідних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реалізації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3642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3642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3642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7D63AF" w:rsidP="0050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20</w:t>
            </w:r>
            <w:r w:rsidR="0050074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224792</w:t>
            </w:r>
            <w:r w:rsidR="00107DA1" w:rsidRPr="003476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грн</w:t>
            </w:r>
          </w:p>
        </w:tc>
      </w:tr>
    </w:tbl>
    <w:p w:rsidR="00BD57B8" w:rsidRPr="00347628" w:rsidRDefault="00BD57B8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Загальна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частина</w:t>
      </w:r>
    </w:p>
    <w:p w:rsidR="00D6378B" w:rsidRPr="00347628" w:rsidRDefault="00D6378B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(ПМСД)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визнана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Всесвітньою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Організацією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(ВООЗ)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найбільш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важливим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елементом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(ОЗ).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Однак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існуючі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диспропорції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між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спеціалізованою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країнах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низьким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середнім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рівнем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доходів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залишаються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джерелом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неефективності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нерівності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Диспропорції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призводять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переважного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більш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вартісної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спеціалізованої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наслідком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стає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зниження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послуг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одночасному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збільшенні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суспільних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витрат.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розвиток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одним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ключових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елементів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ефективності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ОЗ.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Актуальність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Програми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(далі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Програма)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продиктована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поліпшення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</w:t>
      </w:r>
      <w:r w:rsidR="004E3FEA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поліпшення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технічної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бази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Центру,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престижу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праці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працівників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ланки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покращення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соціального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економічного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становища.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Вона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зумовлена,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першу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чергу,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ланки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лікарями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загальної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практики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сімейними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лікарями,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педіатрами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терапевтами,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поліпшення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стану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шляхом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кваліфікованої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орієнтованої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інтегрований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підхід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окремих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громадян,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родин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цілому.</w:t>
      </w:r>
    </w:p>
    <w:p w:rsidR="00D6378B" w:rsidRPr="00347628" w:rsidRDefault="00D6378B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Також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актуальність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значною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мірою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посилюється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першочергових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завдань,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спрямованих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політики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децентралізації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державного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галузевому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рівні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полягають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оптимізації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мережі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урахуванням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допомозі,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залежить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першу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чергу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Треба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усвідомити,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процесу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модернізації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функціонування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галузі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громади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вирішення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завдань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покладених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можливе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лише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умов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дотримання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основних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принципів: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належність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контакті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окремої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особи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родини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країни;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наближеність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місця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проживання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праці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людини;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(за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рівнем,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обсягом,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технологіями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терміном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допомоги);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відповідність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підготовки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спеціалістів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бази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потребам;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стаціонарна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надається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лише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умови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неможливості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вирішення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проблем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рівні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особливо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вразливих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груп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(жінок,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дітей,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осіб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шкідливими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умовами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праці);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регламентація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обов’язків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держави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громадськості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нормативними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документами.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межах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саме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загальна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практика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сімейна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медицина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може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забезпечити: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прийнятні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послуги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пацієнтів;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справедливий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розподіл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ресурсів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інтегроване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координоване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комплексних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лікувальних,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реабілітаційних,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паліативних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послуг;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раціональне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технологій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ресурсів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наступних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ланок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рентабельність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місцевому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рівні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закласти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всі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елементи,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навіть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якщо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даному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етапі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відсутні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можливості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реалізації.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Створення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умов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пошук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ресурсів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конкретні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завдання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створеної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моделі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усіма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елементами)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основою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подальшого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розвитку.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Одним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основних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завдань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органів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місцевого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самоврядування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створення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умов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ефективного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всіх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громадян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залежить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лише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бази,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кваліфікованими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кадрами.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більшості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держав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світу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частку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припадає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90%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загального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обсягу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послуг.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Протягом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останніх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ситуація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кадрами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погіршується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щорічно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лікарях,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середньому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персоналу.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Викликає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занепокоєння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зростання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кількості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працівників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пенсійного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віку,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також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молоді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спеціалісти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бажають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йти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роботу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зв’язку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відсутністю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житла,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низькою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заробітною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платою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відсутністю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доплат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стимулюючого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характеру.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застосовуються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принципи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комплексності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наступності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приділяється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достатня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увага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профілактиці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диспансеризації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Це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призводить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несвоєчасного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виявлення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хвороб</w:t>
      </w:r>
      <w:proofErr w:type="spellEnd"/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ускладнень,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отже,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збільшення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потреби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спеціалізованій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високоспеціалізованій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допомозі.</w:t>
      </w:r>
    </w:p>
    <w:p w:rsidR="00A20A5B" w:rsidRPr="00347628" w:rsidRDefault="00D6378B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Таким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чином,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зміщення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акцентів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просування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способу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життя,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також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запровадження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мультидисциплінарного</w:t>
      </w:r>
      <w:proofErr w:type="spellEnd"/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підходу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робить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концепцію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громадського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невід’ємною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складовою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сучасної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моделі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Погіршення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високі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смертності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працездатного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віку,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тривалості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життя,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нерівність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доступності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призводять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об’єктивного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потреби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медичній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допомозі,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існуюча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задовольнити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змозі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повному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обсязі.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основою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амбулаторної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84" w:rsidRPr="00347628">
        <w:rPr>
          <w:rFonts w:ascii="Times New Roman" w:hAnsi="Times New Roman" w:cs="Times New Roman"/>
          <w:sz w:val="28"/>
          <w:szCs w:val="28"/>
          <w:lang w:val="uk-UA"/>
        </w:rPr>
        <w:t>єдиним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викладене,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нагальна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потреба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озвит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84" w:rsidRPr="0034762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розширеним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спектром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заходів,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стосуються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дорослого,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дитячого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рівн</w:t>
      </w:r>
      <w:r w:rsidR="005264F1" w:rsidRPr="00347628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4F1" w:rsidRPr="00347628"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4F1"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4F1" w:rsidRPr="00347628">
        <w:rPr>
          <w:rFonts w:ascii="Times New Roman" w:hAnsi="Times New Roman" w:cs="Times New Roman"/>
          <w:sz w:val="28"/>
          <w:szCs w:val="28"/>
          <w:lang w:val="uk-UA"/>
        </w:rPr>
        <w:t>жителів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ТГ,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попередження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захворюваності,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зниження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смертності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інвалідності.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даної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дасть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реалізувати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програмно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цільового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методу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залучити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додаткові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кошти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джерел,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заборонених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проблемних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C81C84" w:rsidRPr="003476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зниження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захворюваності,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інвалідності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смертності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налагодження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ефективного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доступної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високоякісної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медицини.</w:t>
      </w:r>
    </w:p>
    <w:p w:rsidR="006E63D9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BEA" w:rsidRPr="00347628" w:rsidRDefault="00975BEA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Шляхи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способи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проблеми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необхідно: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продовжити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мережі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матеріально-технічного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доступність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допомоги;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розробити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дієві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алгоритми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підрозділів;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маршрути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руху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пацієнтів;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перегляд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табелів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поступовим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сучасним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енергоефективним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обладнанням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спеціалізованими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автотранспортними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рекомендованих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нормативів.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впровадити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стандарти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критерії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діяльності;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удосконалити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рейтингових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показників,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характеризують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систематизації,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подальшому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буде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використано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місцевих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матеріальних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стимулів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працівників;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співробітництва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партнерства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запровадження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кращого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світового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досвіду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медицини;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інформувати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громадськість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доцільність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Правові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аспекти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E763D" w:rsidRPr="0034762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F1755" w:rsidRPr="00347628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розроблена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місцеве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Закону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державні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фінансові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гарантії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Закону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внесення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змін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деяких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законодавчих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актів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удосконалення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законодавства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питань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концепції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реформи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схваленої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листопада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2016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№1013-р,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останови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березня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391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вимог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надавача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послуг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головними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розпорядниками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бюджетних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коштів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укладаються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договори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останови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березня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№283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коштів,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передбачених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державному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бюджеті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останови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2017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№1075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вибору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лікаря,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який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допомогу,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форми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декларації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вибір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лікаря,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який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наказу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березня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№504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наказу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січня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№148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Примірного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табеля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оснащення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фізичних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осіб-підприємців,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надають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Бюджетного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постанови 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серпня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1998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впорядкування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безоплатного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відпуску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рецептами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окремих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певними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категоріями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26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серпня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2015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№759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внесення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17.07.1998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 охорони здоров’я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квітня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2014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оку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№241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організацію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дітей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іншими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реалізації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державної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політики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сфері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щодо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задоволення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потреб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87B2C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Новоушицької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об’єднаної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первинній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медико</w:t>
      </w:r>
      <w:r w:rsidR="00B20BB7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-санітарній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20BB7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допомозі.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Фінансове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цієї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видатків,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передбачених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6D8"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місцев</w:t>
      </w:r>
      <w:r w:rsidR="006406D8" w:rsidRPr="00347628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="006406D8"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джерел,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заборонених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чинним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Необхідний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обсяг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фінансування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селищного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бюджету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визначатиметься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щороку,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виходячи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конкретних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завдань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наявності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коштів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підставі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406D8"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атвердженого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кошторису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доходів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видатків.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реалізації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заходів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передбачається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установленому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законодавством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порядку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залучення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благодійних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внесків,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гуманітарної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допомоги,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грантових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інвестиційних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коштів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неурядових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громадських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організацій.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7264" w:rsidRPr="00347628" w:rsidRDefault="00C45316" w:rsidP="00107DA1">
      <w:pPr>
        <w:tabs>
          <w:tab w:val="left" w:pos="165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Шляхи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способи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Оптимальним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шляхами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7264" w:rsidRPr="00347628" w:rsidRDefault="006406D8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зміцнення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бази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здоров’я;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снащення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медичним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обладнанням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інструментарієм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табеля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амбулаторій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санітарним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автотранспортом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(легкові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автомобілі)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ремонтів,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фельдшерськ</w:t>
      </w:r>
      <w:r w:rsidR="001352E5"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пункти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(велосипедом,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скутером);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ситуації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кадрового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досконалення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профілактичних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заходів,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диспансерного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нагляду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хворими,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якісних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профілактичних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оглядів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дитячого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дорослого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населення;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ланки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позабюджетних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джерел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заборонених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чинним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законодавством;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пільгових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категорій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лікарськими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засобами;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інформаційно-технологічного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підрозділів.</w:t>
      </w:r>
    </w:p>
    <w:p w:rsidR="00E67264" w:rsidRPr="00347628" w:rsidRDefault="00E67264" w:rsidP="00107DA1">
      <w:pPr>
        <w:pStyle w:val="aa"/>
        <w:ind w:left="0" w:firstLine="567"/>
        <w:jc w:val="both"/>
        <w:rPr>
          <w:sz w:val="28"/>
          <w:szCs w:val="28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Очікувані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Програми: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зазначеної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дасть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змогу: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підвищити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ефективність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подолання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несприятливих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демографічних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тенденцій;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сформувати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доступну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дієву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висококваліфікованої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медицини;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принципу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координації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лікарем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лікарем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пацієнтам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6D8" w:rsidRPr="0034762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6D8" w:rsidRPr="00347628">
        <w:rPr>
          <w:rFonts w:ascii="Times New Roman" w:hAnsi="Times New Roman" w:cs="Times New Roman"/>
          <w:sz w:val="28"/>
          <w:szCs w:val="28"/>
          <w:lang w:val="uk-UA"/>
        </w:rPr>
        <w:t>допомоги;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належних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фінансових,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професійних,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соціально-побутових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молодих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спеціалістів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освітою.</w:t>
      </w:r>
    </w:p>
    <w:p w:rsidR="00107DA1" w:rsidRPr="00347628" w:rsidRDefault="00107DA1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Механізм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управління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здійснення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контролю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виконанням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Програми</w:t>
      </w:r>
    </w:p>
    <w:p w:rsidR="00E67264" w:rsidRPr="00347628" w:rsidRDefault="00C45316" w:rsidP="00107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Реалізація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Програмою,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покладається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некомерційне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</w:t>
      </w:r>
      <w:r w:rsidR="00C614D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614D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</w:t>
      </w:r>
      <w:r w:rsidR="00540FD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C614D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614D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ради.</w:t>
      </w:r>
    </w:p>
    <w:p w:rsidR="00E67264" w:rsidRPr="00347628" w:rsidRDefault="00C45316" w:rsidP="00107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Контроль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реалізацією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Програмою,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здійснюватимуть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виконавчої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влади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самоврядування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наданням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відповідної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інформації.</w:t>
      </w:r>
    </w:p>
    <w:p w:rsidR="00E67264" w:rsidRPr="00347628" w:rsidRDefault="001352E5" w:rsidP="00107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некомерційне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</w:t>
      </w:r>
      <w:r w:rsidR="00540FD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щороку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звітуватиме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Програми.</w:t>
      </w:r>
    </w:p>
    <w:p w:rsidR="00540FD5" w:rsidRPr="00347628" w:rsidRDefault="00540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Прикінцеві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положення</w:t>
      </w:r>
    </w:p>
    <w:p w:rsidR="00E67264" w:rsidRPr="00347628" w:rsidRDefault="00C45316" w:rsidP="00107DA1">
      <w:pPr>
        <w:tabs>
          <w:tab w:val="left" w:pos="24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шляхи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медико-санітарної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</w:t>
      </w:r>
      <w:r w:rsidR="00C763C4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2021-2025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враховуючи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стратегічні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прогнозовані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обсяги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фінансового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відкритий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характер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доповнюватись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(змінюватись)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установленому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чинним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законодавством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порядку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залежності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потреб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поточного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моменту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(прийняття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нормативних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актів,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доповнення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регіональних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фінансово</w:t>
      </w:r>
      <w:r w:rsidR="00540FD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господарських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можливостей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громади).</w:t>
      </w:r>
    </w:p>
    <w:p w:rsidR="00E67264" w:rsidRPr="00347628" w:rsidRDefault="001352E5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Програма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розрахована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5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рок</w:t>
      </w:r>
      <w:r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ів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має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2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завдання,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направлені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адаптованих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потреб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можливостей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E0732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реалізація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буде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763C4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здійснюватися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шляхом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співпраці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самоврядування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напрямках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діяльності.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67264" w:rsidRPr="00347628" w:rsidRDefault="00E3536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№1.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адання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населенню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медичної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допомоги.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Напрямки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(заходи)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виконання:</w:t>
      </w:r>
    </w:p>
    <w:p w:rsidR="00E67264" w:rsidRPr="00347628" w:rsidRDefault="0081285C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Серцево-судинні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судинно-мозкові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захворювання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347628" w:rsidRDefault="0081285C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7F175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866750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Проти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захворюванню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рофілактика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інфекційних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захворювань.</w:t>
      </w:r>
    </w:p>
    <w:p w:rsidR="00E67264" w:rsidRPr="00347628" w:rsidRDefault="0081285C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населення.</w:t>
      </w:r>
    </w:p>
    <w:p w:rsidR="007F1755" w:rsidRPr="00347628" w:rsidRDefault="007F1755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№2.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Поліпшення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матеріально</w:t>
      </w:r>
      <w:r w:rsidR="00540FD5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-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технічн</w:t>
      </w:r>
      <w:r w:rsidR="00DE0732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E0732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бази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E0732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структурних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E0732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підрозділів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229C2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комунального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некомерційного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підприємства</w:t>
      </w:r>
      <w:r w:rsidR="00540FD5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C229C2" w:rsidRPr="00347628">
        <w:rPr>
          <w:rFonts w:ascii="Times New Roman" w:hAnsi="Times New Roman" w:cs="Times New Roman"/>
          <w:b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29C2" w:rsidRPr="00347628">
        <w:rPr>
          <w:rFonts w:ascii="Times New Roman" w:hAnsi="Times New Roman" w:cs="Times New Roman"/>
          <w:b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29C2" w:rsidRPr="00347628">
        <w:rPr>
          <w:rFonts w:ascii="Times New Roman" w:hAnsi="Times New Roman" w:cs="Times New Roman"/>
          <w:b/>
          <w:sz w:val="28"/>
          <w:szCs w:val="28"/>
          <w:lang w:val="uk-UA"/>
        </w:rPr>
        <w:t>медико-санітарн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29C2"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B9355F" w:rsidRPr="003476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67264" w:rsidRPr="00347628" w:rsidRDefault="00C45316" w:rsidP="0086675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347628">
        <w:rPr>
          <w:color w:val="000000"/>
          <w:sz w:val="28"/>
          <w:szCs w:val="28"/>
          <w:lang w:eastAsia="uk-UA"/>
        </w:rPr>
        <w:t>Придбання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медичного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обладнання,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інструмента</w:t>
      </w:r>
      <w:r w:rsidR="008651C7" w:rsidRPr="00347628">
        <w:rPr>
          <w:color w:val="000000"/>
          <w:sz w:val="28"/>
          <w:szCs w:val="28"/>
          <w:lang w:eastAsia="uk-UA"/>
        </w:rPr>
        <w:t>рію,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санітарного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автотранспорту,</w:t>
      </w:r>
      <w:r w:rsidR="00540FD5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проведення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капітальних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та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поточних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ремонтів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приміщень.</w:t>
      </w:r>
    </w:p>
    <w:p w:rsidR="00E67264" w:rsidRPr="00347628" w:rsidRDefault="0081285C" w:rsidP="0086675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347628">
        <w:rPr>
          <w:color w:val="000000"/>
          <w:sz w:val="28"/>
          <w:szCs w:val="28"/>
          <w:lang w:eastAsia="uk-UA"/>
        </w:rPr>
        <w:t>Оплата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комунальних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послуг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та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енергоносіїв.</w:t>
      </w:r>
    </w:p>
    <w:p w:rsidR="00107DA1" w:rsidRPr="00347628" w:rsidRDefault="00107DA1" w:rsidP="00107DA1">
      <w:pPr>
        <w:pStyle w:val="aa"/>
        <w:ind w:left="0" w:firstLine="567"/>
        <w:jc w:val="both"/>
        <w:rPr>
          <w:b/>
          <w:color w:val="000000"/>
          <w:sz w:val="28"/>
          <w:szCs w:val="28"/>
          <w:lang w:eastAsia="uk-UA"/>
        </w:rPr>
      </w:pPr>
    </w:p>
    <w:p w:rsidR="00E67264" w:rsidRPr="00347628" w:rsidRDefault="00C763C4" w:rsidP="00107DA1">
      <w:pPr>
        <w:pStyle w:val="aa"/>
        <w:ind w:left="0" w:firstLine="567"/>
        <w:jc w:val="both"/>
        <w:rPr>
          <w:b/>
          <w:color w:val="000000"/>
          <w:sz w:val="28"/>
          <w:szCs w:val="28"/>
          <w:lang w:eastAsia="uk-UA"/>
        </w:rPr>
      </w:pPr>
      <w:r w:rsidRPr="00347628">
        <w:rPr>
          <w:b/>
          <w:color w:val="000000"/>
          <w:sz w:val="28"/>
          <w:szCs w:val="28"/>
          <w:lang w:eastAsia="uk-UA"/>
        </w:rPr>
        <w:t>Р</w:t>
      </w:r>
      <w:r w:rsidR="00C45316" w:rsidRPr="00347628">
        <w:rPr>
          <w:b/>
          <w:color w:val="000000"/>
          <w:sz w:val="28"/>
          <w:szCs w:val="28"/>
          <w:lang w:eastAsia="uk-UA"/>
        </w:rPr>
        <w:t>еалізація</w:t>
      </w:r>
      <w:r w:rsidR="00107DA1" w:rsidRPr="00347628">
        <w:rPr>
          <w:b/>
          <w:color w:val="000000"/>
          <w:sz w:val="28"/>
          <w:szCs w:val="28"/>
          <w:lang w:eastAsia="uk-UA"/>
        </w:rPr>
        <w:t xml:space="preserve"> </w:t>
      </w:r>
      <w:r w:rsidR="00C45316" w:rsidRPr="00347628">
        <w:rPr>
          <w:b/>
          <w:color w:val="000000"/>
          <w:sz w:val="28"/>
          <w:szCs w:val="28"/>
          <w:lang w:eastAsia="uk-UA"/>
        </w:rPr>
        <w:t>прикінцевих</w:t>
      </w:r>
      <w:r w:rsidR="00107DA1" w:rsidRPr="00347628">
        <w:rPr>
          <w:b/>
          <w:color w:val="000000"/>
          <w:sz w:val="28"/>
          <w:szCs w:val="28"/>
          <w:lang w:eastAsia="uk-UA"/>
        </w:rPr>
        <w:t xml:space="preserve"> </w:t>
      </w:r>
      <w:r w:rsidR="00C45316" w:rsidRPr="00347628">
        <w:rPr>
          <w:b/>
          <w:color w:val="000000"/>
          <w:sz w:val="28"/>
          <w:szCs w:val="28"/>
          <w:lang w:eastAsia="uk-UA"/>
        </w:rPr>
        <w:t>положень</w:t>
      </w:r>
    </w:p>
    <w:p w:rsidR="00E67264" w:rsidRPr="00347628" w:rsidRDefault="00E8403B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№1.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адання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населенню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медичної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допомоги</w:t>
      </w:r>
    </w:p>
    <w:p w:rsidR="00E67264" w:rsidRPr="00347628" w:rsidRDefault="00C45316" w:rsidP="00107DA1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1</w:t>
      </w:r>
      <w:r w:rsidR="00866750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Серцево-судинні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</w:t>
      </w:r>
      <w:r w:rsidR="00BD2C63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удинно-мозкові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BD2C63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захворювання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системи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кровообігу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загальній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дорослого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займають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40%.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Серед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належить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артеріальній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гіпертензії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(далі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40FD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48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%,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ішемічна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(ІХС)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38%.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Особливої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уваги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заслуговує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той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факт,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60%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пацієнтів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особи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працездатного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віку,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корекція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артеріального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тиску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яких,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зводить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мінімуму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Близько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двох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третин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дорослого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ризик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артеріальної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гіпертонії: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спадковість,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психоемоційні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навантаження,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паління,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незбалансоване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харчування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(надмірне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вживання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солі,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насичених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жирів),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зловживання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алкоголем,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зайва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маса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тіла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малор</w:t>
      </w:r>
      <w:r w:rsidR="00E47E8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ухливий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47E8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спосіб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47E8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життя,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нелікована</w:t>
      </w:r>
      <w:proofErr w:type="spellEnd"/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тривалий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безповоротно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змінює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судини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мозку,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нирок,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сітківку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ока,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впливаючи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функції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3-4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частіше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розвивається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ішемічна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частіше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порушення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мозкового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кровообігу.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Аналіз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загальної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свідчить,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76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%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становить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</w:t>
      </w:r>
      <w:proofErr w:type="spellEnd"/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системи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кровообігу,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зумовлено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основному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двома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причинами: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ішемічною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(ІХС)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цереброваскулярними</w:t>
      </w:r>
      <w:proofErr w:type="spellEnd"/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захворюваннями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(ЦВЗ).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Щорічно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зростає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інфарктів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інсультів.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змогу: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зменшити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інфаркти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інсульти;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покращити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ранню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діагностику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інфарктів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інсультів;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знизити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передчасну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ІХС;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гіпотензивними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умовах.</w:t>
      </w:r>
    </w:p>
    <w:p w:rsidR="00E67264" w:rsidRPr="00347628" w:rsidRDefault="00BD2C6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2</w:t>
      </w:r>
      <w:r w:rsidR="00866750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Протидія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захворюванню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туберкульоз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профілактика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інфекційних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захворювань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E67264" w:rsidRPr="00347628" w:rsidRDefault="008438F5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Новоушицькій</w:t>
      </w:r>
      <w:proofErr w:type="spellEnd"/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продовжує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спостерігатись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напружена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ситуація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захворюваністю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зважаючи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щорічне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зменшення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реєстрації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випадків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більша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половина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складають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відкриті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форми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виявлені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занедбаному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стані.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Особливу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небезпеку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становить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мультирезистентний</w:t>
      </w:r>
      <w:proofErr w:type="spellEnd"/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невиліковним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через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відсутність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достатньої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чутливість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нього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мікобактерії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правило,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форма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поєднана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інфекцією.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Головною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прийняття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раннє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виявлення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своєчасна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ізоляція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хворих,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попередження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соціальної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тубвогнищах</w:t>
      </w:r>
      <w:proofErr w:type="spellEnd"/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Інфекційні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цього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однією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основних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причин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усьому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світі.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Окремі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інфекційних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</w:t>
      </w:r>
      <w:proofErr w:type="spellEnd"/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краснуха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вірусний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гепатит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грип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викликають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більшість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вроджених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аномалій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плоду.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Епідемія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грипу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Н1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N1(Каліфорнія)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останні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викликає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велику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ускладнень,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важкі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пневмонії,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іноді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приводять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блискавичних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смертельних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випадків.</w:t>
      </w:r>
    </w:p>
    <w:p w:rsidR="00EA085D" w:rsidRPr="00347628" w:rsidRDefault="00EA085D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Нова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коронавірусна</w:t>
      </w:r>
      <w:proofErr w:type="spellEnd"/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інфекційна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хвороба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2019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року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(SARS-CoV-2,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або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2019-nCoV)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—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це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новий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вірус,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який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спричиняє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розвиток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респіраторних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захворювань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у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людей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(зокрема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гострої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респіраторної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хвороби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COVID-19)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та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може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передаватися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від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людини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до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людини.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Епідемією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ХХІ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сторіччя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вважається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СНІД.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Питання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протидії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ВІЛ-інфекції/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СНІДу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одним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пріоритетних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напрямів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державної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політики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сфері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охорони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759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здоров’я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соціального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Для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позитивного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вирішення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питання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профілактики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ВІЛ-інфекції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необхідно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якісними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доступними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послугами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діагностики,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насамперед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представникам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підвищеного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ризику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послуг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догляду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підтримки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осіб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сімей,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живуть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Україні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законодавством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передбачено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10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обов’язкових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щеплень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керованої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інфекції.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Досягнення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достатнього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прошарку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імунізованих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осіб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гарантує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відсутність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циркуляції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збудника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759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прийняття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епідемічного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благополуччя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шляхом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імунізації,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направленої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зниження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інфекції,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керуються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специфічної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профілактики,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також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профілактики,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діагнос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тики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грипу,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ГРВІ,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ВІЛ-ін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фекції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гострої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A085D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респіраторної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A085D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хвороби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A085D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COVID-19.</w:t>
      </w:r>
    </w:p>
    <w:p w:rsidR="00975BEA" w:rsidRDefault="00975BEA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</w:p>
    <w:p w:rsidR="00E67264" w:rsidRPr="00347628" w:rsidRDefault="00BD2C6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lastRenderedPageBreak/>
        <w:t>Захід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3</w:t>
      </w:r>
      <w:r w:rsidR="00866750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пільгових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категорій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E81D92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B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17.08.1998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впорядкування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безоплатного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відпуску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рецептами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окремих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певними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категоріями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B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26.08.2015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№759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внесення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B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17.07.1998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B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Міністерства охорони здоров’я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20.04.2014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№241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організацію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дітей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іншими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хворих.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медикаментами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для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регулює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B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останова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B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16.03.2017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BEA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№180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B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остановою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B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4.07.2017</w:t>
      </w:r>
      <w:r w:rsidR="00975B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BEA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№547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затверджує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Національний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перелік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дозволено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закуповувати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закладам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охорони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здоров’я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кошти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державного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бюджету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Перелік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жителів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отримували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протягом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попередніх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рецептами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сімейних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ланки:</w:t>
      </w:r>
    </w:p>
    <w:p w:rsidR="00E67264" w:rsidRPr="00852CA5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</w:pPr>
      <w:r w:rsidRPr="00852CA5"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  <w:t>Пільговики</w:t>
      </w:r>
      <w:r w:rsidR="00107DA1" w:rsidRPr="00852CA5"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  <w:t xml:space="preserve"> </w:t>
      </w:r>
      <w:r w:rsidRPr="00852CA5"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  <w:t>по</w:t>
      </w:r>
      <w:r w:rsidR="00107DA1" w:rsidRPr="00852CA5"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  <w:t xml:space="preserve"> </w:t>
      </w:r>
      <w:r w:rsidRPr="00852CA5"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  <w:t>категоріях: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1.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Групи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населення,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разі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амбулаторного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лікарські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засоби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рецептами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відпускаються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безоплатно: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0" w:name="n83"/>
      <w:bookmarkEnd w:id="0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1)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незалежно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середньомісячного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сукупного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доходу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сім’ї:</w:t>
      </w:r>
    </w:p>
    <w:p w:rsidR="00E67264" w:rsidRPr="00975BEA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bookmarkStart w:id="1" w:name="n84"/>
      <w:bookmarkStart w:id="2" w:name="_GoBack"/>
      <w:bookmarkEnd w:id="1"/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віком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трьох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років;</w:t>
      </w:r>
    </w:p>
    <w:p w:rsidR="00E67264" w:rsidRPr="00975BEA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3" w:name="n85"/>
      <w:bookmarkEnd w:id="3"/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учасники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бойових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дій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війни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1"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статус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ветеранів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війни,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гарантії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їх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соціального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975BEA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4" w:name="n86"/>
      <w:bookmarkEnd w:id="4"/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постраждали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віднесені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категорій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2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2"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статус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соціальний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постраждали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975BEA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5" w:name="n87"/>
      <w:bookmarkEnd w:id="5"/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неповнолітні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померлих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віднесених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категорій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2,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смерть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яких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пов’язана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катастрофою,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3"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статус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соціальний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постраждали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975BEA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bookmarkStart w:id="6" w:name="n88"/>
      <w:bookmarkEnd w:id="6"/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дівчата-підлітки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жінки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протипоказаннями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вагітності,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також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жінки,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постраждали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(засоби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контрацепції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-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гормональні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препарати);</w:t>
      </w:r>
    </w:p>
    <w:p w:rsidR="00E67264" w:rsidRPr="00975BEA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bookmarkStart w:id="7" w:name="n89"/>
      <w:bookmarkEnd w:id="7"/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пенсіонери,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отримують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віком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або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зв’язку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втратою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годувальника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(крім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осіб,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отримують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дітей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зв’язку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втратою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годувальника),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якщо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зазначені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одержують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розмірі,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що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перевищує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мінімальний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розмір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пенсії;</w:t>
      </w:r>
    </w:p>
    <w:p w:rsidR="00E67264" w:rsidRPr="00975BEA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8" w:name="n90"/>
      <w:bookmarkEnd w:id="8"/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інваліди,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отримують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віком,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інвалідності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або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зв’язку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втратою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годувальника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(крім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осіб,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отримують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дітей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зв’язку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втратою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годувальника),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якщо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зазначені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одержують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пенсію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розмірі,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що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перевищує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мінімальний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розмір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пенсії,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4"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основи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захищеності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інвалідів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975BEA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9" w:name="n91"/>
      <w:bookmarkEnd w:id="9"/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отримують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державну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допомогу,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призначену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замість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пенсії,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5"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основи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захищеності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інвалідів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975BEA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0" w:name="n92"/>
      <w:bookmarkEnd w:id="10"/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діти-інваліди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6"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основи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захищеності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інвалідів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975BEA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1" w:name="n93"/>
      <w:bookmarkEnd w:id="11"/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військової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служби,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органів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внутрішніх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справ,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податкової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міліції,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державної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пожежної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охорони,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Державної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кримінально-виконавчої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служби,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служби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цивільного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захисту,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Державної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служби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спеціального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lastRenderedPageBreak/>
        <w:t>зв’язку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захисту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інформації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7"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975B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статус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ветеранів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військової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служби,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ветеранів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органів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внутрішніх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справ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деяких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інших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осіб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їх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соціальний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</w:t>
      </w:r>
      <w:r w:rsidR="00107DA1"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975BE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12" w:name="n94"/>
      <w:bookmarkEnd w:id="12"/>
      <w:bookmarkEnd w:id="2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2)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якщо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середньомісячного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сукупного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доходу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сім’ї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розрахунку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одну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попередні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шість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місяців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перевищує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величини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доходу,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дає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право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податкову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пільгу: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3" w:name="n95"/>
      <w:bookmarkEnd w:id="13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багатодітних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сімей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8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охорону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дитинства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4" w:name="n96"/>
      <w:bookmarkEnd w:id="14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постраждали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віднесені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категорії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3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9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статус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соціальний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постраждали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5" w:name="n97"/>
      <w:bookmarkEnd w:id="15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учасники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війни,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мають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особливі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заслуги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перед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Батьківщиною,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також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поширюється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0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статус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війни,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гарантії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їх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6" w:name="n98"/>
      <w:bookmarkEnd w:id="16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жертви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нацистських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переслідувань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1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жертви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нацистських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переслідувань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7" w:name="n99"/>
      <w:bookmarkEnd w:id="17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дружини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(чоловіки)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померлих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жертв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нацистських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переслідувань,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визнаних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життя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інвалідами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загального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захворювання,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трудового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каліцтва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інших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причин,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одружилися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вдруге,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2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жертви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нацистських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переслідувань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8" w:name="n100"/>
      <w:bookmarkEnd w:id="18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мають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особливі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трудові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заслуги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перед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Батьківщиною,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3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основні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засади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праці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інших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похилого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віку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9" w:name="n101"/>
      <w:bookmarkEnd w:id="19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неповнолітні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померлих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числа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учасників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ліквідації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наслідків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аварії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Чорнобильській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АЕС,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віднесених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категорії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3,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смерть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пов’язана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катастрофою,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4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статус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соціальний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постраждали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bookmarkStart w:id="20" w:name="n102"/>
      <w:bookmarkEnd w:id="20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працювали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моменту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аварії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Чорнобильській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АЕС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липня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1986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р.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менше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14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календарних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днів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або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менше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трьох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місяців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протягом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1986-1987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років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межами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зони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відчуження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роботах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особливо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шкідливими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умовами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праці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(за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радіаційним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фактором),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пов’язаними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ліквідацією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наслідків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що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виконувалися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урядовими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завданнями.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21" w:name="n103"/>
      <w:bookmarkEnd w:id="21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2.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Групи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населення,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разі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амбулаторного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лікарські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засоби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рецептами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відпускаються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оплатою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50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відсотків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вартості: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bookmarkStart w:id="22" w:name="n104"/>
      <w:bookmarkEnd w:id="22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віком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трьох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шести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років;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23" w:name="n105"/>
      <w:bookmarkEnd w:id="23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I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II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груп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5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основи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захищеності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24" w:name="n106"/>
      <w:bookmarkEnd w:id="24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депортовані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досягли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пенсійного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віку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або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є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інвалідами,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6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відновлення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прав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осіб,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депортованих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національною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ознакою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25" w:name="n107"/>
      <w:bookmarkEnd w:id="25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реабілітовані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інвалідами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репресій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або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є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пенсіонерами,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7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реабілітацію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жертв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політичних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репресій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26" w:name="n108"/>
      <w:bookmarkEnd w:id="26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почесні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донори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8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донорство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крові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її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компонентів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»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нагороджені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нагрудним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знаком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Почесний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донор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СРСР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постанови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Верховної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Ради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23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червня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1995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р.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9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№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240/95-ВР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введення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Закону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донорство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крові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її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компонентів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bookmarkStart w:id="27" w:name="n81"/>
      <w:bookmarkEnd w:id="27"/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Пільговики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540FD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захворювання</w:t>
      </w:r>
      <w:r w:rsidR="00540FD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ми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Онкологічні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Гематологічні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Діабет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(цукровий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нецукровий)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Ревматизм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Ревматоїдний</w:t>
      </w:r>
      <w:proofErr w:type="spellEnd"/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артрит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Пухирчатка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Системний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гострий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вовчак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Системні,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хронічні,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тяжкі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шкіри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Сифіліс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Лепра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Туберкульоз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Аддісонова</w:t>
      </w:r>
      <w:proofErr w:type="spellEnd"/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Гепатоцеребральна</w:t>
      </w:r>
      <w:proofErr w:type="spellEnd"/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дистрофія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Фенілкетонурія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Шизофренія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епілепсія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Психічні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(інвалідам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II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груп,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хворим,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працюють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лікувально-виробничих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майстернях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психоневрологічних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психіатричних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закладів)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операції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протезування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клапанів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серця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Гостра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переміжна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порфірія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Муковісцидоз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Тяжкі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бруцельозу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Дизентерія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Гіпофізарний</w:t>
      </w:r>
      <w:proofErr w:type="spellEnd"/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нанізм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пересадки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тканин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Бронхіальна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астма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Бехтерєва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Міостенія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Міопатія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Мозочкова</w:t>
      </w:r>
      <w:proofErr w:type="spellEnd"/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атаксія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Марі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Паркінсона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Інфаркт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міокарду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(перші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шість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місяців)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Дитячий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церебральний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параліч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СНІД,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ВІЧ-інфекція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Післяопераційний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гіпотиреоз,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числі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приводу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раку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щитовидної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залози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Гіпопаратиреоз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Вроджена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дисфункція</w:t>
      </w:r>
      <w:proofErr w:type="spellEnd"/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наднирників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28" w:name="n51"/>
      <w:bookmarkEnd w:id="28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Шизофренія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епілепсія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29" w:name="n52"/>
      <w:bookmarkEnd w:id="29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Психічні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(інвалідам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II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груп,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хворим,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працюють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лікувально-виробничих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майстернях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психоневрологічних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психіатричних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закладів)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0" w:name="n53"/>
      <w:bookmarkEnd w:id="30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операції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протезування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клапанів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серця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1" w:name="n54"/>
      <w:bookmarkEnd w:id="31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Гостра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переміжна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порфірія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2" w:name="n55"/>
      <w:bookmarkEnd w:id="32"/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Муковісцидоз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3" w:name="n56"/>
      <w:bookmarkEnd w:id="33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Тяжкі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бруцельозу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4" w:name="n57"/>
      <w:bookmarkEnd w:id="34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Дизентерія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5" w:name="n58"/>
      <w:bookmarkEnd w:id="35"/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Гіпофізарний</w:t>
      </w:r>
      <w:proofErr w:type="spellEnd"/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нанізм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6" w:name="n59"/>
      <w:bookmarkEnd w:id="36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пересадки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тканин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7" w:name="n60"/>
      <w:bookmarkEnd w:id="37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Бронхіальна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астма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8" w:name="n61"/>
      <w:bookmarkEnd w:id="38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Бехтерєва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9" w:name="n62"/>
      <w:bookmarkEnd w:id="39"/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Міостенія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0" w:name="n63"/>
      <w:bookmarkEnd w:id="40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Міопатія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1" w:name="n64"/>
      <w:bookmarkEnd w:id="41"/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Мозочкова</w:t>
      </w:r>
      <w:proofErr w:type="spellEnd"/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атаксія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Марі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2" w:name="n65"/>
      <w:bookmarkEnd w:id="42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Паркінсона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3" w:name="n66"/>
      <w:bookmarkEnd w:id="43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Інфаркт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міокарду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(перші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шість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місяців)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4" w:name="n67"/>
      <w:bookmarkEnd w:id="44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Дитячий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церебральний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параліч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5" w:name="n68"/>
      <w:bookmarkEnd w:id="45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СНІД,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ВІЧ-інфекція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6" w:name="n69"/>
      <w:bookmarkEnd w:id="46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Післяопераційний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гіпотиреоз,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числі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приводу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раку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щитовидної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залози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7" w:name="n70"/>
      <w:bookmarkEnd w:id="47"/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Гіпопаратиреоз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8" w:name="n71"/>
      <w:bookmarkEnd w:id="48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Вроджена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дисфункція</w:t>
      </w:r>
      <w:proofErr w:type="spellEnd"/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наднирників</w:t>
      </w:r>
      <w:proofErr w:type="spellEnd"/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Метою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цієї </w:t>
      </w:r>
      <w:r w:rsidR="00201488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визначеної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умовах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максимально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можливостей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бюджету.</w:t>
      </w:r>
    </w:p>
    <w:p w:rsidR="00325813" w:rsidRPr="00347628" w:rsidRDefault="0032581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25813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№2.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Поліпшення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матеріально</w:t>
      </w:r>
      <w:r w:rsidR="00540FD5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-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технічної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бази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структурних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підрозділів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комунального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некомерційного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підприємства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ц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ентр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медико-санітарн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» 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Новоушицької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селищної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ради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»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1</w:t>
      </w:r>
      <w:r w:rsidR="00866750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Придбання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медичного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обладнання,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інструментарію,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санітарного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автотранспорту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2C4938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структурних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підрозділів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некомерційного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підприємства</w:t>
      </w:r>
      <w:r w:rsidR="00DD525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Новоушицький</w:t>
      </w:r>
      <w:proofErr w:type="spellEnd"/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медико-санітарн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обладнанням,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автомобілями,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інструментарієм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перебуває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79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70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%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абеля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оснащення.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Крім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цього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частина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автотранспорт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підлягає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оновленню,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існуюче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щорічної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повірки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поточних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ремонтів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якісних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параметрів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роботи.</w:t>
      </w:r>
    </w:p>
    <w:p w:rsidR="00E67264" w:rsidRPr="00347628" w:rsidRDefault="00481852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покращення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06EAB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комфорту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перебування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пацієнтів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приміщеннях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підрозділів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підприємства,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структурних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підрозділів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сучасним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обладнанням,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інструментарієм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транспортом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відповідності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абеля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оснащення,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покращити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якість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доступність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кваліфікованої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громади.</w:t>
      </w:r>
    </w:p>
    <w:p w:rsidR="003E206A" w:rsidRPr="00347628" w:rsidRDefault="003E206A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2</w:t>
      </w:r>
      <w:r w:rsidR="00866750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Оплата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комунальних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послуг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енергоносіїв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760C76" w:rsidRPr="00347628" w:rsidRDefault="00760C7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ст.89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кодексу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видатків,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здійснюються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належать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енергоносіїв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підтримки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населенню.</w:t>
      </w:r>
    </w:p>
    <w:p w:rsidR="00903594" w:rsidRPr="00347628" w:rsidRDefault="00903594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DA1" w:rsidRPr="00347628" w:rsidRDefault="00107DA1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14D1" w:rsidRDefault="0040294E" w:rsidP="0040294E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="00107DA1" w:rsidRPr="003476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Pr="00347628">
        <w:rPr>
          <w:rFonts w:ascii="Times New Roman" w:hAnsi="Times New Roman"/>
          <w:b/>
          <w:sz w:val="28"/>
          <w:szCs w:val="28"/>
          <w:lang w:val="uk-UA"/>
        </w:rPr>
        <w:tab/>
        <w:t>Віктор</w:t>
      </w:r>
      <w:r w:rsidR="00107DA1" w:rsidRPr="003476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b/>
          <w:sz w:val="28"/>
          <w:szCs w:val="28"/>
          <w:lang w:val="uk-UA"/>
        </w:rPr>
        <w:t>КОСТЮЧЕНКО</w:t>
      </w:r>
    </w:p>
    <w:p w:rsidR="00C614D1" w:rsidRPr="00347628" w:rsidRDefault="00C614D1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294E" w:rsidRPr="00347628" w:rsidRDefault="0040294E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40294E" w:rsidRPr="00347628" w:rsidSect="00975BEA">
          <w:headerReference w:type="default" r:id="rId30"/>
          <w:pgSz w:w="11906" w:h="16838"/>
          <w:pgMar w:top="1134" w:right="567" w:bottom="1134" w:left="1701" w:header="567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C614D1" w:rsidRPr="00347628" w:rsidRDefault="00C614D1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393"/>
      </w:tblGrid>
      <w:tr w:rsidR="007D2694" w:rsidRPr="00347628" w:rsidTr="00BC27AB">
        <w:trPr>
          <w:jc w:val="right"/>
        </w:trPr>
        <w:tc>
          <w:tcPr>
            <w:tcW w:w="15353" w:type="dxa"/>
            <w:shd w:val="clear" w:color="auto" w:fill="auto"/>
          </w:tcPr>
          <w:p w:rsidR="007D2694" w:rsidRPr="00347628" w:rsidRDefault="007D2694" w:rsidP="00BC27A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  <w:r w:rsidR="00107DA1" w:rsidRPr="003476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/>
                <w:sz w:val="28"/>
                <w:szCs w:val="28"/>
                <w:lang w:val="uk-UA"/>
              </w:rPr>
              <w:t>до</w:t>
            </w:r>
            <w:r w:rsidR="00107DA1" w:rsidRPr="003476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  <w:r w:rsidR="00107DA1" w:rsidRPr="003476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569F" w:rsidRPr="00347628">
              <w:rPr>
                <w:rFonts w:ascii="Times New Roman" w:hAnsi="Times New Roman"/>
                <w:sz w:val="28"/>
                <w:szCs w:val="28"/>
                <w:lang w:val="uk-UA"/>
              </w:rPr>
              <w:t>розвитку первинної медико-санітарної допомоги Новоушицької територіальної громади на 2021-2025 роки</w:t>
            </w:r>
          </w:p>
        </w:tc>
      </w:tr>
    </w:tbl>
    <w:p w:rsidR="007D2694" w:rsidRPr="00347628" w:rsidRDefault="007D2694" w:rsidP="007D2694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D2694" w:rsidRPr="00347628" w:rsidRDefault="0014569F" w:rsidP="001456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ЗАХОДИ ПРОГРАМИ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br/>
        <w:t>розвитку первинної медико-санітарної допомоги Новоушицької територіальної громади на 2021-2025 роки</w:t>
      </w:r>
    </w:p>
    <w:p w:rsidR="0014569F" w:rsidRPr="00347628" w:rsidRDefault="0014569F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938"/>
        <w:gridCol w:w="2693"/>
        <w:gridCol w:w="992"/>
        <w:gridCol w:w="1134"/>
        <w:gridCol w:w="1134"/>
        <w:gridCol w:w="1134"/>
        <w:gridCol w:w="1134"/>
        <w:gridCol w:w="1044"/>
      </w:tblGrid>
      <w:tr w:rsidR="00D569F9" w:rsidRPr="00975BEA" w:rsidTr="00975731">
        <w:trPr>
          <w:trHeight w:val="2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Загальні обсяги фінансування (</w:t>
            </w:r>
            <w:proofErr w:type="spellStart"/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41310B" w:rsidRPr="00347628" w:rsidTr="00975731">
        <w:trPr>
          <w:trHeight w:val="20"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355462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амбулаторій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ЗПСМ,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фельдшерсько-акушерські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пункти)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обладнанням,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виробами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медичного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69F9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D569F9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569F9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66EDE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614D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C614D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  <w:r w:rsidR="00C614D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C614D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C614D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pStyle w:val="1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47628">
              <w:rPr>
                <w:rFonts w:ascii="Times New Roman" w:hAnsi="Times New Roman" w:cs="Times New Roman"/>
                <w:lang w:val="uk-UA"/>
              </w:rPr>
              <w:t>Проведення капітального та поточного ремонту приміщень АЗПСМ, ФАП, ФП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355462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766EDE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каналізації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Струзької</w:t>
            </w:r>
            <w:proofErr w:type="spellEnd"/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практики-сімейної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медицини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(внутрішні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36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36317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шицький</w:t>
            </w:r>
            <w:proofErr w:type="spellEnd"/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</w:t>
            </w:r>
            <w:r w:rsidR="00D569F9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усіх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7D63AF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355462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влаштуванням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медицини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с.Вільховець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DD5256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DD5256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шицький</w:t>
            </w:r>
            <w:proofErr w:type="spellEnd"/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D5256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</w:t>
            </w:r>
            <w:r w:rsidR="00D569F9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усіх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766EDE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(оплата квартири, оплата комунальних послуг) та ремонт квартир для молодих спеціалістів сільської місцевості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ПМСД» Новоушицької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Стимулюючі виплати медичним працівникам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765,977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боротьбі з туберкульозом: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туберкулінодіагностики</w:t>
            </w:r>
            <w:proofErr w:type="spellEnd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туберкуліну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</w:t>
            </w:r>
            <w:r w:rsidR="00903594"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185</w:t>
            </w:r>
            <w:r w:rsidR="00903594"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355462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шприців;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  <w:r w:rsidR="00903594"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санітарно-епідемічних та профілактичних заходів з метою попередження поширення інфекційних захворювань та вогнищ інфекції.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енергоносіїв та комунальних послуг, придбання паливо-мастильних матеріалів, запчастин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пільгової категорії населення лікарськими засобами та виробами медичного призначення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</w:tr>
      <w:tr w:rsidR="0041310B" w:rsidRPr="0041310B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5" w:rsidRPr="00852CA5" w:rsidRDefault="00852CA5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5" w:rsidRPr="0041310B" w:rsidRDefault="00852CA5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Страхування </w:t>
            </w:r>
            <w:r w:rsidR="00603373"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 та інших працівників, що зайняті у ліквідації епідемії</w:t>
            </w:r>
            <w:r w:rsidR="0041310B"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здійсненні заходів із запобігання </w:t>
            </w:r>
            <w:proofErr w:type="spellStart"/>
            <w:r w:rsidR="0041310B"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пошеренню</w:t>
            </w:r>
            <w:proofErr w:type="spellEnd"/>
            <w:r w:rsidR="0041310B"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гострої респіраторної хвороби COVID-19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5" w:rsidRPr="00347628" w:rsidRDefault="00852CA5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5" w:rsidRPr="0041310B" w:rsidRDefault="00852CA5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2CA5" w:rsidRPr="0041310B" w:rsidRDefault="0041310B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2CA5" w:rsidRPr="0041310B" w:rsidRDefault="0041310B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2CA5" w:rsidRPr="0041310B" w:rsidRDefault="0041310B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2CA5" w:rsidRPr="0041310B" w:rsidRDefault="0041310B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2CA5" w:rsidRPr="0041310B" w:rsidRDefault="0041310B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</w:tr>
      <w:tr w:rsidR="0041310B" w:rsidRPr="00603373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B" w:rsidRPr="00347628" w:rsidRDefault="0041310B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B" w:rsidRPr="00347628" w:rsidRDefault="0041310B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B" w:rsidRPr="00347628" w:rsidRDefault="0041310B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B" w:rsidRPr="00603373" w:rsidRDefault="0041310B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1310B" w:rsidRPr="0041310B" w:rsidRDefault="0041310B" w:rsidP="00C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1310B" w:rsidRPr="0041310B" w:rsidRDefault="0041310B" w:rsidP="00C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1310B" w:rsidRPr="0041310B" w:rsidRDefault="0041310B" w:rsidP="00C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1310B" w:rsidRPr="0041310B" w:rsidRDefault="0041310B" w:rsidP="00C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3108,292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1310B" w:rsidRPr="0041310B" w:rsidRDefault="0041310B" w:rsidP="00C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3108,292</w:t>
            </w:r>
          </w:p>
        </w:tc>
      </w:tr>
    </w:tbl>
    <w:p w:rsidR="00C614D1" w:rsidRPr="00347628" w:rsidRDefault="00C614D1" w:rsidP="002C49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3594" w:rsidRPr="00347628" w:rsidRDefault="00C614D1" w:rsidP="002C4938">
      <w:pPr>
        <w:tabs>
          <w:tab w:val="left" w:pos="98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D569F9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іктор КОСТЮЧЕНКО </w:t>
      </w:r>
    </w:p>
    <w:sectPr w:rsidR="00903594" w:rsidRPr="00347628" w:rsidSect="00975BEA">
      <w:pgSz w:w="16838" w:h="11906" w:orient="landscape"/>
      <w:pgMar w:top="851" w:right="1134" w:bottom="1701" w:left="1134" w:header="567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45" w:rsidRDefault="00112F45">
      <w:pPr>
        <w:spacing w:after="0" w:line="240" w:lineRule="auto"/>
      </w:pPr>
      <w:r>
        <w:separator/>
      </w:r>
    </w:p>
  </w:endnote>
  <w:endnote w:type="continuationSeparator" w:id="0">
    <w:p w:rsidR="00112F45" w:rsidRDefault="0011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45" w:rsidRDefault="00112F45">
      <w:pPr>
        <w:spacing w:after="0" w:line="240" w:lineRule="auto"/>
      </w:pPr>
      <w:r>
        <w:separator/>
      </w:r>
    </w:p>
  </w:footnote>
  <w:footnote w:type="continuationSeparator" w:id="0">
    <w:p w:rsidR="00112F45" w:rsidRDefault="0011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033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5BEA" w:rsidRPr="00975BEA" w:rsidRDefault="00975BE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5B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B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5BEA" w:rsidRDefault="00975BE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998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5BEA" w:rsidRPr="00975BEA" w:rsidRDefault="00975BE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5B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B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5BEA" w:rsidRPr="00975BEA" w:rsidRDefault="00975BEA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08313C"/>
    <w:multiLevelType w:val="multilevel"/>
    <w:tmpl w:val="1EA27F2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36576B"/>
    <w:multiLevelType w:val="multilevel"/>
    <w:tmpl w:val="C98C9F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603DB6"/>
    <w:multiLevelType w:val="multilevel"/>
    <w:tmpl w:val="6F765CFA"/>
    <w:lvl w:ilvl="0">
      <w:start w:val="20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CF23DDD"/>
    <w:multiLevelType w:val="hybridMultilevel"/>
    <w:tmpl w:val="E9B0C5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64"/>
    <w:rsid w:val="0004089A"/>
    <w:rsid w:val="00056C22"/>
    <w:rsid w:val="00074D61"/>
    <w:rsid w:val="000F08F3"/>
    <w:rsid w:val="00107DA1"/>
    <w:rsid w:val="001124E1"/>
    <w:rsid w:val="00112F45"/>
    <w:rsid w:val="001352E5"/>
    <w:rsid w:val="0014569F"/>
    <w:rsid w:val="00157202"/>
    <w:rsid w:val="00157A39"/>
    <w:rsid w:val="001860C7"/>
    <w:rsid w:val="001C0275"/>
    <w:rsid w:val="001F1B46"/>
    <w:rsid w:val="001F476D"/>
    <w:rsid w:val="00201488"/>
    <w:rsid w:val="00202C77"/>
    <w:rsid w:val="002B1E73"/>
    <w:rsid w:val="002C4938"/>
    <w:rsid w:val="002C6526"/>
    <w:rsid w:val="002D2FF7"/>
    <w:rsid w:val="002D5618"/>
    <w:rsid w:val="002D7F8A"/>
    <w:rsid w:val="00325813"/>
    <w:rsid w:val="00330A46"/>
    <w:rsid w:val="00335F7F"/>
    <w:rsid w:val="00347628"/>
    <w:rsid w:val="00355462"/>
    <w:rsid w:val="00363017"/>
    <w:rsid w:val="00363174"/>
    <w:rsid w:val="00372F42"/>
    <w:rsid w:val="00393AD5"/>
    <w:rsid w:val="003A22D4"/>
    <w:rsid w:val="003B436C"/>
    <w:rsid w:val="003C0B7F"/>
    <w:rsid w:val="003E206A"/>
    <w:rsid w:val="003F59E8"/>
    <w:rsid w:val="0040294E"/>
    <w:rsid w:val="0041310B"/>
    <w:rsid w:val="00427759"/>
    <w:rsid w:val="00466A2F"/>
    <w:rsid w:val="00481852"/>
    <w:rsid w:val="00487B2C"/>
    <w:rsid w:val="00491665"/>
    <w:rsid w:val="00492C2A"/>
    <w:rsid w:val="004C17F6"/>
    <w:rsid w:val="004C3BB9"/>
    <w:rsid w:val="004C7B80"/>
    <w:rsid w:val="004D5B50"/>
    <w:rsid w:val="004E3FEA"/>
    <w:rsid w:val="0050074F"/>
    <w:rsid w:val="00506EAB"/>
    <w:rsid w:val="005264F1"/>
    <w:rsid w:val="00540FD5"/>
    <w:rsid w:val="005412FE"/>
    <w:rsid w:val="00554F6A"/>
    <w:rsid w:val="005638CE"/>
    <w:rsid w:val="005932AA"/>
    <w:rsid w:val="005A202F"/>
    <w:rsid w:val="005A58A2"/>
    <w:rsid w:val="005F20AD"/>
    <w:rsid w:val="00603373"/>
    <w:rsid w:val="006140D4"/>
    <w:rsid w:val="006406D8"/>
    <w:rsid w:val="006526BF"/>
    <w:rsid w:val="00683642"/>
    <w:rsid w:val="00683B87"/>
    <w:rsid w:val="006B7EF9"/>
    <w:rsid w:val="006E434A"/>
    <w:rsid w:val="006E632E"/>
    <w:rsid w:val="006E63D9"/>
    <w:rsid w:val="006E642A"/>
    <w:rsid w:val="00760C76"/>
    <w:rsid w:val="00766EDE"/>
    <w:rsid w:val="00772927"/>
    <w:rsid w:val="00780B08"/>
    <w:rsid w:val="007D0ADB"/>
    <w:rsid w:val="007D2694"/>
    <w:rsid w:val="007D63AF"/>
    <w:rsid w:val="007F1755"/>
    <w:rsid w:val="0081285C"/>
    <w:rsid w:val="008172C1"/>
    <w:rsid w:val="008353FA"/>
    <w:rsid w:val="008438F5"/>
    <w:rsid w:val="00844DC5"/>
    <w:rsid w:val="0085179C"/>
    <w:rsid w:val="00852CA5"/>
    <w:rsid w:val="008651C7"/>
    <w:rsid w:val="00866750"/>
    <w:rsid w:val="00870D93"/>
    <w:rsid w:val="00895EB3"/>
    <w:rsid w:val="008A4EF6"/>
    <w:rsid w:val="008B7AAB"/>
    <w:rsid w:val="008E00F5"/>
    <w:rsid w:val="00903594"/>
    <w:rsid w:val="0091243A"/>
    <w:rsid w:val="00914E1C"/>
    <w:rsid w:val="009258D7"/>
    <w:rsid w:val="00931165"/>
    <w:rsid w:val="00931797"/>
    <w:rsid w:val="00975731"/>
    <w:rsid w:val="00975BEA"/>
    <w:rsid w:val="009A03FD"/>
    <w:rsid w:val="009B4E52"/>
    <w:rsid w:val="009C0172"/>
    <w:rsid w:val="00A107FF"/>
    <w:rsid w:val="00A20A5B"/>
    <w:rsid w:val="00A22B6D"/>
    <w:rsid w:val="00A57A6A"/>
    <w:rsid w:val="00A62420"/>
    <w:rsid w:val="00A6688B"/>
    <w:rsid w:val="00A76B59"/>
    <w:rsid w:val="00A7789A"/>
    <w:rsid w:val="00A94881"/>
    <w:rsid w:val="00AF3E56"/>
    <w:rsid w:val="00B126CE"/>
    <w:rsid w:val="00B20BB7"/>
    <w:rsid w:val="00B374B5"/>
    <w:rsid w:val="00B811A4"/>
    <w:rsid w:val="00B82904"/>
    <w:rsid w:val="00B9355F"/>
    <w:rsid w:val="00BA4EDA"/>
    <w:rsid w:val="00BA60C9"/>
    <w:rsid w:val="00BC27AB"/>
    <w:rsid w:val="00BD2C63"/>
    <w:rsid w:val="00BD57B8"/>
    <w:rsid w:val="00BD5914"/>
    <w:rsid w:val="00C150C2"/>
    <w:rsid w:val="00C229C2"/>
    <w:rsid w:val="00C42272"/>
    <w:rsid w:val="00C45316"/>
    <w:rsid w:val="00C45336"/>
    <w:rsid w:val="00C51641"/>
    <w:rsid w:val="00C614D1"/>
    <w:rsid w:val="00C64F17"/>
    <w:rsid w:val="00C763C4"/>
    <w:rsid w:val="00C81C84"/>
    <w:rsid w:val="00C87DEB"/>
    <w:rsid w:val="00CE2EEE"/>
    <w:rsid w:val="00D10AB9"/>
    <w:rsid w:val="00D43D39"/>
    <w:rsid w:val="00D569F9"/>
    <w:rsid w:val="00D6378B"/>
    <w:rsid w:val="00D70957"/>
    <w:rsid w:val="00D723E0"/>
    <w:rsid w:val="00D80256"/>
    <w:rsid w:val="00D85B4B"/>
    <w:rsid w:val="00D861DE"/>
    <w:rsid w:val="00D95E53"/>
    <w:rsid w:val="00DA4F5C"/>
    <w:rsid w:val="00DB4197"/>
    <w:rsid w:val="00DD5256"/>
    <w:rsid w:val="00DE0732"/>
    <w:rsid w:val="00E262C2"/>
    <w:rsid w:val="00E32819"/>
    <w:rsid w:val="00E35363"/>
    <w:rsid w:val="00E47E81"/>
    <w:rsid w:val="00E50F36"/>
    <w:rsid w:val="00E53367"/>
    <w:rsid w:val="00E61E86"/>
    <w:rsid w:val="00E67264"/>
    <w:rsid w:val="00E81D92"/>
    <w:rsid w:val="00E8403B"/>
    <w:rsid w:val="00EA085D"/>
    <w:rsid w:val="00EB4B1C"/>
    <w:rsid w:val="00EC2EF4"/>
    <w:rsid w:val="00EC542D"/>
    <w:rsid w:val="00EC749B"/>
    <w:rsid w:val="00ED279A"/>
    <w:rsid w:val="00EE0021"/>
    <w:rsid w:val="00EE763D"/>
    <w:rsid w:val="00F118A1"/>
    <w:rsid w:val="00F75395"/>
    <w:rsid w:val="00FC0A8F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A8"/>
    <w:pPr>
      <w:spacing w:after="200" w:line="276" w:lineRule="auto"/>
    </w:pPr>
    <w:rPr>
      <w:color w:val="00000A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683B8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color w:val="auto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3005F"/>
  </w:style>
  <w:style w:type="character" w:customStyle="1" w:styleId="a4">
    <w:name w:val="Нижний колонтитул Знак"/>
    <w:basedOn w:val="a0"/>
    <w:uiPriority w:val="99"/>
    <w:qFormat/>
    <w:rsid w:val="00C3005F"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3A0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head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683B87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d">
    <w:name w:val="Normal (Web)"/>
    <w:basedOn w:val="a"/>
    <w:uiPriority w:val="99"/>
    <w:unhideWhenUsed/>
    <w:rsid w:val="004C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5914"/>
    <w:rPr>
      <w:rFonts w:ascii="Segoe UI" w:hAnsi="Segoe UI" w:cs="Segoe UI"/>
      <w:color w:val="00000A"/>
      <w:sz w:val="18"/>
      <w:szCs w:val="18"/>
    </w:rPr>
  </w:style>
  <w:style w:type="paragraph" w:customStyle="1" w:styleId="1">
    <w:name w:val="Абзац списка1"/>
    <w:basedOn w:val="a"/>
    <w:rsid w:val="00903594"/>
    <w:pPr>
      <w:spacing w:after="0" w:line="240" w:lineRule="auto"/>
      <w:ind w:left="720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10">
    <w:name w:val="Знак Знак1 Знак Знак Знак Знак Знак Знак Знак Знак"/>
    <w:basedOn w:val="a"/>
    <w:rsid w:val="00903594"/>
    <w:pPr>
      <w:spacing w:after="0" w:line="240" w:lineRule="auto"/>
    </w:pPr>
    <w:rPr>
      <w:rFonts w:ascii="Verdana" w:eastAsia="Times New Roman" w:hAnsi="Verdana" w:cs="Verdana"/>
      <w:color w:val="auto"/>
      <w:sz w:val="28"/>
      <w:szCs w:val="28"/>
      <w:lang w:val="en-US" w:eastAsia="en-US"/>
    </w:rPr>
  </w:style>
  <w:style w:type="paragraph" w:customStyle="1" w:styleId="rvps3">
    <w:name w:val="rvps3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9">
    <w:name w:val="rvts9"/>
    <w:basedOn w:val="a0"/>
    <w:rsid w:val="002C4938"/>
  </w:style>
  <w:style w:type="paragraph" w:customStyle="1" w:styleId="rvps6">
    <w:name w:val="rvps6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23">
    <w:name w:val="rvts23"/>
    <w:basedOn w:val="a0"/>
    <w:rsid w:val="002C4938"/>
  </w:style>
  <w:style w:type="paragraph" w:customStyle="1" w:styleId="paragraph">
    <w:name w:val="paragraph"/>
    <w:basedOn w:val="a"/>
    <w:rsid w:val="0014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14569F"/>
  </w:style>
  <w:style w:type="table" w:styleId="af0">
    <w:name w:val="Table Grid"/>
    <w:basedOn w:val="a1"/>
    <w:uiPriority w:val="59"/>
    <w:rsid w:val="0014569F"/>
    <w:rPr>
      <w:rFonts w:eastAsiaTheme="minorHAnsi"/>
      <w:sz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A8"/>
    <w:pPr>
      <w:spacing w:after="200" w:line="276" w:lineRule="auto"/>
    </w:pPr>
    <w:rPr>
      <w:color w:val="00000A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683B8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color w:val="auto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3005F"/>
  </w:style>
  <w:style w:type="character" w:customStyle="1" w:styleId="a4">
    <w:name w:val="Нижний колонтитул Знак"/>
    <w:basedOn w:val="a0"/>
    <w:uiPriority w:val="99"/>
    <w:qFormat/>
    <w:rsid w:val="00C3005F"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3A0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head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683B87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d">
    <w:name w:val="Normal (Web)"/>
    <w:basedOn w:val="a"/>
    <w:uiPriority w:val="99"/>
    <w:unhideWhenUsed/>
    <w:rsid w:val="004C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5914"/>
    <w:rPr>
      <w:rFonts w:ascii="Segoe UI" w:hAnsi="Segoe UI" w:cs="Segoe UI"/>
      <w:color w:val="00000A"/>
      <w:sz w:val="18"/>
      <w:szCs w:val="18"/>
    </w:rPr>
  </w:style>
  <w:style w:type="paragraph" w:customStyle="1" w:styleId="1">
    <w:name w:val="Абзац списка1"/>
    <w:basedOn w:val="a"/>
    <w:rsid w:val="00903594"/>
    <w:pPr>
      <w:spacing w:after="0" w:line="240" w:lineRule="auto"/>
      <w:ind w:left="720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10">
    <w:name w:val="Знак Знак1 Знак Знак Знак Знак Знак Знак Знак Знак"/>
    <w:basedOn w:val="a"/>
    <w:rsid w:val="00903594"/>
    <w:pPr>
      <w:spacing w:after="0" w:line="240" w:lineRule="auto"/>
    </w:pPr>
    <w:rPr>
      <w:rFonts w:ascii="Verdana" w:eastAsia="Times New Roman" w:hAnsi="Verdana" w:cs="Verdana"/>
      <w:color w:val="auto"/>
      <w:sz w:val="28"/>
      <w:szCs w:val="28"/>
      <w:lang w:val="en-US" w:eastAsia="en-US"/>
    </w:rPr>
  </w:style>
  <w:style w:type="paragraph" w:customStyle="1" w:styleId="rvps3">
    <w:name w:val="rvps3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9">
    <w:name w:val="rvts9"/>
    <w:basedOn w:val="a0"/>
    <w:rsid w:val="002C4938"/>
  </w:style>
  <w:style w:type="paragraph" w:customStyle="1" w:styleId="rvps6">
    <w:name w:val="rvps6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23">
    <w:name w:val="rvts23"/>
    <w:basedOn w:val="a0"/>
    <w:rsid w:val="002C4938"/>
  </w:style>
  <w:style w:type="paragraph" w:customStyle="1" w:styleId="paragraph">
    <w:name w:val="paragraph"/>
    <w:basedOn w:val="a"/>
    <w:rsid w:val="0014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14569F"/>
  </w:style>
  <w:style w:type="table" w:styleId="af0">
    <w:name w:val="Table Grid"/>
    <w:basedOn w:val="a1"/>
    <w:uiPriority w:val="59"/>
    <w:rsid w:val="0014569F"/>
    <w:rPr>
      <w:rFonts w:eastAsiaTheme="minorHAnsi"/>
      <w:sz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2.rada.gov.ua/laws/show/796-12" TargetMode="External"/><Relationship Id="rId18" Type="http://schemas.openxmlformats.org/officeDocument/2006/relationships/hyperlink" Target="http://zakon2.rada.gov.ua/laws/show/2402-14" TargetMode="External"/><Relationship Id="rId26" Type="http://schemas.openxmlformats.org/officeDocument/2006/relationships/hyperlink" Target="http://zakon2.rada.gov.ua/laws/show/1223-18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2.rada.gov.ua/laws/show/1584-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akon2.rada.gov.ua/laws/show/796-12" TargetMode="External"/><Relationship Id="rId17" Type="http://schemas.openxmlformats.org/officeDocument/2006/relationships/hyperlink" Target="http://zakon2.rada.gov.ua/laws/show/203/98-&#1074;&#1088;" TargetMode="External"/><Relationship Id="rId25" Type="http://schemas.openxmlformats.org/officeDocument/2006/relationships/hyperlink" Target="http://zakon2.rada.gov.ua/laws/show/875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2.rada.gov.ua/laws/show/875-12" TargetMode="External"/><Relationship Id="rId20" Type="http://schemas.openxmlformats.org/officeDocument/2006/relationships/hyperlink" Target="http://zakon2.rada.gov.ua/laws/show/3551-12" TargetMode="External"/><Relationship Id="rId29" Type="http://schemas.openxmlformats.org/officeDocument/2006/relationships/hyperlink" Target="http://zakon2.rada.gov.ua/laws/show/240/95-&#1074;&#1088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3551-12" TargetMode="External"/><Relationship Id="rId24" Type="http://schemas.openxmlformats.org/officeDocument/2006/relationships/hyperlink" Target="http://zakon2.rada.gov.ua/laws/show/796-12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akon2.rada.gov.ua/laws/show/875-12" TargetMode="External"/><Relationship Id="rId23" Type="http://schemas.openxmlformats.org/officeDocument/2006/relationships/hyperlink" Target="http://zakon2.rada.gov.ua/laws/show/3721-12" TargetMode="External"/><Relationship Id="rId28" Type="http://schemas.openxmlformats.org/officeDocument/2006/relationships/hyperlink" Target="http://zakon2.rada.gov.ua/laws/show/239/95-&#1074;&#1088;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akon2.rada.gov.ua/laws/show/796-1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zakon2.rada.gov.ua/laws/show/875-12" TargetMode="External"/><Relationship Id="rId22" Type="http://schemas.openxmlformats.org/officeDocument/2006/relationships/hyperlink" Target="http://zakon2.rada.gov.ua/laws/show/1584-14" TargetMode="External"/><Relationship Id="rId27" Type="http://schemas.openxmlformats.org/officeDocument/2006/relationships/hyperlink" Target="http://zakon2.rada.gov.ua/laws/show/962-12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2657-023B-4ED8-BAEB-8D6F9167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5637</Words>
  <Characters>32133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</cp:revision>
  <cp:lastPrinted>2020-11-04T13:28:00Z</cp:lastPrinted>
  <dcterms:created xsi:type="dcterms:W3CDTF">2020-12-11T11:11:00Z</dcterms:created>
  <dcterms:modified xsi:type="dcterms:W3CDTF">2020-12-28T08:18:00Z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