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AE" w:rsidRPr="00470BD6" w:rsidRDefault="001205AE" w:rsidP="00282338">
      <w:pPr>
        <w:pStyle w:val="ab"/>
        <w:spacing w:before="0" w:after="0"/>
        <w:ind w:right="-5"/>
        <w:rPr>
          <w:rFonts w:ascii="Times New Roman" w:hAnsi="Times New Roman" w:cs="Times New Roman"/>
          <w:sz w:val="24"/>
          <w:szCs w:val="24"/>
        </w:rPr>
      </w:pPr>
      <w:r w:rsidRPr="00470B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object w:dxaOrig="1380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90.75pt" o:ole="" filled="t">
            <v:fill color2="black"/>
            <v:imagedata r:id="rId8" o:title=""/>
          </v:shape>
          <o:OLEObject Type="Embed" ProgID="PBrush" ShapeID="_x0000_i1025" DrawAspect="Content" ObjectID="_1638693847" r:id="rId9"/>
        </w:object>
      </w:r>
    </w:p>
    <w:p w:rsidR="001205AE" w:rsidRPr="00470BD6" w:rsidRDefault="001205AE" w:rsidP="00C509EA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1205AE" w:rsidRPr="00470BD6" w:rsidRDefault="001205AE" w:rsidP="00C509EA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НОВОУШИЦЬКА СЕЛИЩНА РАДА</w:t>
      </w:r>
    </w:p>
    <w:p w:rsidR="001205AE" w:rsidRPr="00470BD6" w:rsidRDefault="001205AE" w:rsidP="00C509EA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 СЕЛИЩНОЇ ОБ’ЄДНАНОЇ  ТЕРИТОРІАЛЬНОЇ ГРОМАДИ</w:t>
      </w:r>
    </w:p>
    <w:p w:rsidR="001205AE" w:rsidRPr="00470BD6" w:rsidRDefault="001205AE" w:rsidP="00282338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1205AE" w:rsidRPr="00470BD6" w:rsidRDefault="001205AE" w:rsidP="00282338">
      <w:pPr>
        <w:spacing w:after="0"/>
        <w:ind w:right="-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Р І Ш Е Н </w:t>
      </w:r>
      <w:proofErr w:type="spellStart"/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End"/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</w:t>
      </w:r>
    </w:p>
    <w:p w:rsidR="001205AE" w:rsidRPr="00470BD6" w:rsidRDefault="001205AE" w:rsidP="00282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20 грудня  2019 року № </w:t>
      </w:r>
      <w:r w:rsidR="00470BD6" w:rsidRPr="00470BD6">
        <w:rPr>
          <w:rFonts w:ascii="Times New Roman" w:hAnsi="Times New Roman" w:cs="Times New Roman"/>
          <w:b/>
          <w:sz w:val="24"/>
          <w:szCs w:val="24"/>
          <w:lang w:val="uk-UA"/>
        </w:rPr>
        <w:t>1256</w:t>
      </w:r>
    </w:p>
    <w:p w:rsidR="001205AE" w:rsidRPr="00470BD6" w:rsidRDefault="001205AE" w:rsidP="00282338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смт</w:t>
      </w:r>
      <w:proofErr w:type="spellEnd"/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Нова </w:t>
      </w:r>
      <w:proofErr w:type="spellStart"/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Ушиця</w:t>
      </w:r>
      <w:proofErr w:type="spellEnd"/>
    </w:p>
    <w:p w:rsidR="001205AE" w:rsidRPr="003244B4" w:rsidRDefault="001205AE" w:rsidP="003167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05AE" w:rsidRPr="003244B4" w:rsidRDefault="00470BD6" w:rsidP="009D0C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205AE" w:rsidRPr="003244B4">
        <w:rPr>
          <w:rFonts w:ascii="Times New Roman" w:hAnsi="Times New Roman" w:cs="Times New Roman"/>
          <w:sz w:val="24"/>
          <w:szCs w:val="24"/>
          <w:lang w:val="uk-UA"/>
        </w:rPr>
        <w:t xml:space="preserve"> Заслухавши та обговоривши  Програму покращення надання медичної допомоги хворим,які потребують гемодіалізу на 2020 рік, керуючись Законом України " Про місцеве самоврядування в Україні" від 21.05.1997 року </w:t>
      </w:r>
      <w:r w:rsidR="001205AE" w:rsidRPr="003244B4">
        <w:rPr>
          <w:rFonts w:ascii="Times New Roman" w:hAnsi="Times New Roman" w:cs="Times New Roman"/>
          <w:sz w:val="24"/>
          <w:szCs w:val="24"/>
        </w:rPr>
        <w:t>N</w:t>
      </w:r>
      <w:r w:rsidR="001205AE" w:rsidRPr="003244B4">
        <w:rPr>
          <w:rFonts w:ascii="Times New Roman" w:hAnsi="Times New Roman" w:cs="Times New Roman"/>
          <w:sz w:val="24"/>
          <w:szCs w:val="24"/>
          <w:lang w:val="uk-UA"/>
        </w:rPr>
        <w:t xml:space="preserve">280/97-ВР (із змінами та доповненнями), виконавчий комітет селищної ради </w:t>
      </w:r>
    </w:p>
    <w:p w:rsidR="001205AE" w:rsidRPr="003244B4" w:rsidRDefault="00470BD6" w:rsidP="0028233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</w:t>
      </w:r>
      <w:r w:rsidR="001205AE" w:rsidRPr="003244B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ВИРІШИВ:</w:t>
      </w:r>
    </w:p>
    <w:p w:rsidR="001205AE" w:rsidRPr="003244B4" w:rsidRDefault="001205AE" w:rsidP="0031676A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205AE" w:rsidRPr="003244B4" w:rsidRDefault="001205AE" w:rsidP="00282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244B4">
        <w:rPr>
          <w:rFonts w:ascii="Times New Roman" w:hAnsi="Times New Roman" w:cs="Times New Roman"/>
          <w:sz w:val="24"/>
          <w:szCs w:val="24"/>
          <w:lang w:val="uk-UA"/>
        </w:rPr>
        <w:t xml:space="preserve">       1. Погодити Програму покращення надання медичної допомоги хворим,які потребують гемодіалізу на 2020 рік. Додається.</w:t>
      </w:r>
    </w:p>
    <w:p w:rsidR="001205AE" w:rsidRPr="003244B4" w:rsidRDefault="001205AE" w:rsidP="0031676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1205AE" w:rsidRPr="003244B4" w:rsidRDefault="001205AE" w:rsidP="0031676A">
      <w:pPr>
        <w:tabs>
          <w:tab w:val="left" w:pos="1320"/>
          <w:tab w:val="center" w:pos="4819"/>
        </w:tabs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244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2. Заступнику селищного голови з гуманітарних питань Кокареву В.В.., головному лікарю КНП «Новоушицький Центр ПМСД» Фінагеєвій Н.М., директору Новоушицького територіального центру соціального обслуговування (надання соціальних послуг) </w:t>
      </w:r>
      <w:r w:rsidRPr="003244B4">
        <w:rPr>
          <w:rFonts w:ascii="Times New Roman" w:hAnsi="Times New Roman" w:cs="Times New Roman"/>
          <w:sz w:val="24"/>
          <w:szCs w:val="24"/>
          <w:lang w:val="uk-UA"/>
        </w:rPr>
        <w:t>Програму покращення надання медичної допомоги хворим,які потребують гемодіалізу на 2020 рік</w:t>
      </w:r>
      <w:r w:rsidRPr="003244B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винести на розгляд найблищої сесії</w:t>
      </w:r>
      <w:r w:rsidRPr="003244B4">
        <w:rPr>
          <w:rFonts w:ascii="Times New Roman" w:hAnsi="Times New Roman" w:cs="Times New Roman"/>
          <w:noProof/>
          <w:sz w:val="24"/>
          <w:szCs w:val="24"/>
          <w:lang w:val="uk-UA"/>
        </w:rPr>
        <w:tab/>
      </w: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05AE" w:rsidRPr="003244B4" w:rsidRDefault="001205AE" w:rsidP="0031676A">
      <w:pPr>
        <w:shd w:val="clear" w:color="auto" w:fill="FFFFFF"/>
        <w:tabs>
          <w:tab w:val="left" w:pos="1365"/>
          <w:tab w:val="left" w:pos="6705"/>
        </w:tabs>
        <w:ind w:right="3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44B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Селищний голова</w:t>
      </w:r>
      <w:r w:rsidRPr="003244B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О.</w:t>
      </w:r>
      <w:proofErr w:type="spellStart"/>
      <w:r w:rsidRPr="003244B4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Московчук</w:t>
      </w:r>
      <w:proofErr w:type="spellEnd"/>
    </w:p>
    <w:p w:rsidR="001205AE" w:rsidRPr="00470BD6" w:rsidRDefault="00470BD6" w:rsidP="00470BD6">
      <w:pPr>
        <w:shd w:val="clear" w:color="auto" w:fill="FFFFFF"/>
        <w:tabs>
          <w:tab w:val="left" w:pos="6705"/>
        </w:tabs>
        <w:ind w:right="3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470BD6">
        <w:rPr>
          <w:rFonts w:ascii="Times New Roman" w:hAnsi="Times New Roman" w:cs="Times New Roman"/>
          <w:b/>
          <w:sz w:val="24"/>
          <w:szCs w:val="24"/>
          <w:lang w:val="uk-UA"/>
        </w:rPr>
        <w:tab/>
        <w:t>С.Мегель</w:t>
      </w:r>
    </w:p>
    <w:p w:rsidR="001205AE" w:rsidRPr="00470BD6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1676A">
      <w:pPr>
        <w:shd w:val="clear" w:color="auto" w:fill="FFFFFF"/>
        <w:ind w:right="38"/>
        <w:jc w:val="center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244B4">
      <w:pPr>
        <w:ind w:left="708" w:firstLine="708"/>
        <w:rPr>
          <w:rFonts w:ascii="Times New Roman" w:hAnsi="Times New Roman" w:cs="Times New Roman"/>
          <w:b/>
          <w:bCs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lastRenderedPageBreak/>
        <w:t xml:space="preserve">  Програма покращення   надання медичної допомоги хворим,</w:t>
      </w:r>
    </w:p>
    <w:p w:rsidR="001205AE" w:rsidRPr="003244B4" w:rsidRDefault="001205AE" w:rsidP="003244B4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які потребують гемодіалізу на 2020 рік</w:t>
      </w:r>
    </w:p>
    <w:p w:rsidR="001205AE" w:rsidRPr="003244B4" w:rsidRDefault="001205AE" w:rsidP="003244B4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205AE" w:rsidRPr="003244B4" w:rsidRDefault="001205AE" w:rsidP="003244B4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44B4">
        <w:rPr>
          <w:rFonts w:ascii="Times New Roman" w:hAnsi="Times New Roman" w:cs="Times New Roman"/>
          <w:b/>
          <w:bCs/>
          <w:sz w:val="24"/>
          <w:szCs w:val="24"/>
          <w:lang w:val="uk-UA"/>
        </w:rPr>
        <w:t>І. Загальна частина.</w:t>
      </w:r>
    </w:p>
    <w:p w:rsidR="001205AE" w:rsidRPr="003244B4" w:rsidRDefault="001205AE" w:rsidP="003244B4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3244B4">
        <w:rPr>
          <w:rFonts w:ascii="Times New Roman" w:hAnsi="Times New Roman" w:cs="Times New Roman"/>
          <w:b/>
          <w:bCs/>
        </w:rPr>
        <w:t xml:space="preserve"> Паспорт </w:t>
      </w:r>
      <w:proofErr w:type="spellStart"/>
      <w:r w:rsidRPr="003244B4">
        <w:rPr>
          <w:rFonts w:ascii="Times New Roman" w:hAnsi="Times New Roman" w:cs="Times New Roman"/>
          <w:b/>
          <w:bCs/>
        </w:rPr>
        <w:t>програми</w:t>
      </w:r>
      <w:proofErr w:type="spellEnd"/>
    </w:p>
    <w:p w:rsidR="001205AE" w:rsidRPr="003244B4" w:rsidRDefault="001205AE" w:rsidP="003244B4">
      <w:pPr>
        <w:pStyle w:val="a3"/>
        <w:shd w:val="clear" w:color="auto" w:fill="FFFFFF"/>
        <w:spacing w:before="0" w:beforeAutospacing="0" w:after="0" w:afterAutospacing="0"/>
        <w:jc w:val="center"/>
        <w:rPr>
          <w:color w:val="2D1614"/>
        </w:rPr>
      </w:pPr>
      <w:r w:rsidRPr="003244B4">
        <w:rPr>
          <w:color w:val="2D1614"/>
        </w:rPr>
        <w:t> 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3113"/>
        <w:gridCol w:w="5901"/>
      </w:tblGrid>
      <w:tr w:rsidR="001205AE" w:rsidRPr="003244B4" w:rsidTr="00445417">
        <w:trPr>
          <w:trHeight w:val="59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1.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Ініціатор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розроблення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r w:rsidRPr="003244B4">
              <w:t> </w:t>
            </w:r>
            <w:proofErr w:type="spellStart"/>
            <w:r w:rsidRPr="003244B4">
              <w:t>Комунальне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некомерційне</w:t>
            </w:r>
            <w:proofErr w:type="spellEnd"/>
            <w:r w:rsidRPr="003244B4">
              <w:t xml:space="preserve"> </w:t>
            </w:r>
            <w:proofErr w:type="spellStart"/>
            <w:proofErr w:type="gramStart"/>
            <w:r w:rsidRPr="003244B4">
              <w:t>п</w:t>
            </w:r>
            <w:proofErr w:type="gramEnd"/>
            <w:r w:rsidRPr="003244B4">
              <w:t>ідприємство</w:t>
            </w:r>
            <w:proofErr w:type="spellEnd"/>
            <w:r w:rsidRPr="003244B4">
              <w:t xml:space="preserve">  «</w:t>
            </w:r>
            <w:proofErr w:type="spellStart"/>
            <w:r w:rsidRPr="003244B4">
              <w:t>Новоушицький</w:t>
            </w:r>
            <w:proofErr w:type="spellEnd"/>
            <w:r w:rsidRPr="003244B4">
              <w:t xml:space="preserve">  центр </w:t>
            </w:r>
            <w:proofErr w:type="spellStart"/>
            <w:r w:rsidRPr="003244B4">
              <w:t>первинної</w:t>
            </w:r>
            <w:proofErr w:type="spellEnd"/>
            <w:r w:rsidRPr="003244B4">
              <w:t xml:space="preserve">  медико– </w:t>
            </w:r>
            <w:proofErr w:type="spellStart"/>
            <w:r w:rsidRPr="003244B4">
              <w:t>санітарної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допомоги</w:t>
            </w:r>
            <w:proofErr w:type="spellEnd"/>
            <w:r w:rsidRPr="003244B4">
              <w:t xml:space="preserve">» Новоушицької </w:t>
            </w:r>
            <w:proofErr w:type="spellStart"/>
            <w:r w:rsidRPr="003244B4">
              <w:t>селищної</w:t>
            </w:r>
            <w:proofErr w:type="spellEnd"/>
            <w:r w:rsidRPr="003244B4">
              <w:t xml:space="preserve"> ради</w:t>
            </w:r>
          </w:p>
          <w:p w:rsidR="001205AE" w:rsidRPr="003244B4" w:rsidRDefault="001205AE" w:rsidP="00445417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244B4">
              <w:rPr>
                <w:lang w:val="ru-RU"/>
              </w:rPr>
              <w:t>Новоушицький</w:t>
            </w:r>
            <w:proofErr w:type="spellEnd"/>
            <w:r w:rsidRPr="003244B4">
              <w:rPr>
                <w:lang w:val="ru-RU"/>
              </w:rPr>
              <w:t xml:space="preserve"> т</w:t>
            </w:r>
            <w:proofErr w:type="spellStart"/>
            <w:r w:rsidRPr="003244B4">
              <w:t>ериторіальний</w:t>
            </w:r>
            <w:proofErr w:type="spellEnd"/>
            <w:r w:rsidRPr="003244B4">
              <w:t xml:space="preserve"> центр</w:t>
            </w:r>
            <w:r w:rsidRPr="003244B4">
              <w:rPr>
                <w:lang w:val="ru-RU"/>
              </w:rPr>
              <w:t xml:space="preserve"> </w:t>
            </w:r>
            <w:proofErr w:type="spellStart"/>
            <w:proofErr w:type="gramStart"/>
            <w:r w:rsidRPr="003244B4">
              <w:rPr>
                <w:lang w:val="ru-RU"/>
              </w:rPr>
              <w:t>соц</w:t>
            </w:r>
            <w:proofErr w:type="spellEnd"/>
            <w:proofErr w:type="gramEnd"/>
            <w:r w:rsidRPr="003244B4">
              <w:t>і</w:t>
            </w:r>
            <w:proofErr w:type="spellStart"/>
            <w:r w:rsidRPr="003244B4">
              <w:rPr>
                <w:lang w:val="ru-RU"/>
              </w:rPr>
              <w:t>ального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обслуговування</w:t>
            </w:r>
            <w:proofErr w:type="spellEnd"/>
            <w:r w:rsidRPr="003244B4">
              <w:rPr>
                <w:lang w:val="ru-RU"/>
              </w:rPr>
              <w:t xml:space="preserve"> (</w:t>
            </w:r>
            <w:proofErr w:type="spellStart"/>
            <w:r w:rsidRPr="003244B4">
              <w:rPr>
                <w:lang w:val="ru-RU"/>
              </w:rPr>
              <w:t>надання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соціальних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послуг</w:t>
            </w:r>
            <w:proofErr w:type="spellEnd"/>
            <w:r w:rsidRPr="003244B4">
              <w:rPr>
                <w:lang w:val="ru-RU"/>
              </w:rPr>
              <w:t>)</w:t>
            </w:r>
          </w:p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r w:rsidRPr="003244B4">
              <w:t xml:space="preserve">Дата, номер і </w:t>
            </w:r>
            <w:proofErr w:type="spellStart"/>
            <w:r w:rsidRPr="003244B4">
              <w:t>назва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розпорядчого</w:t>
            </w:r>
            <w:proofErr w:type="spellEnd"/>
            <w:r w:rsidRPr="003244B4">
              <w:t xml:space="preserve"> документа про </w:t>
            </w:r>
            <w:proofErr w:type="spellStart"/>
            <w:r w:rsidRPr="003244B4">
              <w:t>розроблення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AE" w:rsidRPr="003244B4" w:rsidRDefault="001205AE" w:rsidP="00445417">
            <w:pPr>
              <w:pStyle w:val="a3"/>
            </w:pP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Розробник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r w:rsidRPr="003244B4">
              <w:t>  </w:t>
            </w:r>
            <w:proofErr w:type="spellStart"/>
            <w:r w:rsidRPr="003244B4">
              <w:t>Комунальне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некомерційне</w:t>
            </w:r>
            <w:proofErr w:type="spellEnd"/>
            <w:r w:rsidRPr="003244B4">
              <w:t xml:space="preserve"> </w:t>
            </w:r>
            <w:proofErr w:type="spellStart"/>
            <w:proofErr w:type="gramStart"/>
            <w:r w:rsidRPr="003244B4">
              <w:t>п</w:t>
            </w:r>
            <w:proofErr w:type="gramEnd"/>
            <w:r w:rsidRPr="003244B4">
              <w:t>ідприємство</w:t>
            </w:r>
            <w:proofErr w:type="spellEnd"/>
            <w:r w:rsidRPr="003244B4">
              <w:t xml:space="preserve">  «</w:t>
            </w:r>
            <w:proofErr w:type="spellStart"/>
            <w:r w:rsidRPr="003244B4">
              <w:t>Новоушицький</w:t>
            </w:r>
            <w:proofErr w:type="spellEnd"/>
            <w:r w:rsidRPr="003244B4">
              <w:t xml:space="preserve">  центр </w:t>
            </w:r>
            <w:proofErr w:type="spellStart"/>
            <w:r w:rsidRPr="003244B4">
              <w:t>первинної</w:t>
            </w:r>
            <w:proofErr w:type="spellEnd"/>
            <w:r w:rsidRPr="003244B4">
              <w:t xml:space="preserve">  медико– </w:t>
            </w:r>
            <w:proofErr w:type="spellStart"/>
            <w:r w:rsidRPr="003244B4">
              <w:t>санітарної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допомоги</w:t>
            </w:r>
            <w:proofErr w:type="spellEnd"/>
            <w:r w:rsidRPr="003244B4">
              <w:t xml:space="preserve">» Новоушицької </w:t>
            </w:r>
            <w:proofErr w:type="spellStart"/>
            <w:r w:rsidRPr="003244B4">
              <w:t>селищної</w:t>
            </w:r>
            <w:proofErr w:type="spellEnd"/>
            <w:r w:rsidRPr="003244B4">
              <w:t xml:space="preserve"> ради</w:t>
            </w:r>
          </w:p>
          <w:p w:rsidR="001205AE" w:rsidRPr="003244B4" w:rsidRDefault="001205AE" w:rsidP="00445417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244B4">
              <w:rPr>
                <w:lang w:val="ru-RU"/>
              </w:rPr>
              <w:t>Новоушицький</w:t>
            </w:r>
            <w:proofErr w:type="spellEnd"/>
            <w:r w:rsidRPr="003244B4">
              <w:rPr>
                <w:lang w:val="ru-RU"/>
              </w:rPr>
              <w:t xml:space="preserve"> т</w:t>
            </w:r>
            <w:proofErr w:type="spellStart"/>
            <w:r w:rsidRPr="003244B4">
              <w:t>ериторіальний</w:t>
            </w:r>
            <w:proofErr w:type="spellEnd"/>
            <w:r w:rsidRPr="003244B4">
              <w:t xml:space="preserve"> центр</w:t>
            </w:r>
            <w:r w:rsidRPr="003244B4">
              <w:rPr>
                <w:lang w:val="ru-RU"/>
              </w:rPr>
              <w:t xml:space="preserve"> </w:t>
            </w:r>
            <w:proofErr w:type="spellStart"/>
            <w:proofErr w:type="gramStart"/>
            <w:r w:rsidRPr="003244B4">
              <w:rPr>
                <w:lang w:val="ru-RU"/>
              </w:rPr>
              <w:t>соц</w:t>
            </w:r>
            <w:proofErr w:type="spellEnd"/>
            <w:proofErr w:type="gramEnd"/>
            <w:r w:rsidRPr="003244B4">
              <w:t>і</w:t>
            </w:r>
            <w:proofErr w:type="spellStart"/>
            <w:r w:rsidRPr="003244B4">
              <w:rPr>
                <w:lang w:val="ru-RU"/>
              </w:rPr>
              <w:t>ального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обслуговування</w:t>
            </w:r>
            <w:proofErr w:type="spellEnd"/>
            <w:r w:rsidRPr="003244B4">
              <w:rPr>
                <w:lang w:val="ru-RU"/>
              </w:rPr>
              <w:t xml:space="preserve"> (</w:t>
            </w:r>
            <w:proofErr w:type="spellStart"/>
            <w:r w:rsidRPr="003244B4">
              <w:rPr>
                <w:lang w:val="ru-RU"/>
              </w:rPr>
              <w:t>надання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соціальних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послуг</w:t>
            </w:r>
            <w:proofErr w:type="spellEnd"/>
            <w:r w:rsidRPr="003244B4">
              <w:rPr>
                <w:lang w:val="ru-RU"/>
              </w:rPr>
              <w:t>)</w:t>
            </w:r>
          </w:p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Співрозробники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Новоушицька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селищна</w:t>
            </w:r>
            <w:proofErr w:type="spellEnd"/>
            <w:r w:rsidRPr="003244B4">
              <w:t xml:space="preserve"> рада</w:t>
            </w: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5.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Відповідальний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виконавець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Комунальне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некомерційне</w:t>
            </w:r>
            <w:proofErr w:type="spellEnd"/>
            <w:r w:rsidRPr="003244B4">
              <w:t xml:space="preserve"> </w:t>
            </w:r>
            <w:proofErr w:type="spellStart"/>
            <w:proofErr w:type="gramStart"/>
            <w:r w:rsidRPr="003244B4">
              <w:t>п</w:t>
            </w:r>
            <w:proofErr w:type="gramEnd"/>
            <w:r w:rsidRPr="003244B4">
              <w:t>ідприємство</w:t>
            </w:r>
            <w:proofErr w:type="spellEnd"/>
            <w:r w:rsidRPr="003244B4">
              <w:t xml:space="preserve">  «</w:t>
            </w:r>
            <w:proofErr w:type="spellStart"/>
            <w:r w:rsidRPr="003244B4">
              <w:t>Новоушицький</w:t>
            </w:r>
            <w:proofErr w:type="spellEnd"/>
            <w:r w:rsidRPr="003244B4">
              <w:t xml:space="preserve">  центр </w:t>
            </w:r>
            <w:proofErr w:type="spellStart"/>
            <w:r w:rsidRPr="003244B4">
              <w:t>первинної</w:t>
            </w:r>
            <w:proofErr w:type="spellEnd"/>
            <w:r w:rsidRPr="003244B4">
              <w:t xml:space="preserve">  медико– </w:t>
            </w:r>
            <w:proofErr w:type="spellStart"/>
            <w:r w:rsidRPr="003244B4">
              <w:t>санітарної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допомоги</w:t>
            </w:r>
            <w:proofErr w:type="spellEnd"/>
            <w:r w:rsidRPr="003244B4">
              <w:t xml:space="preserve">» Новоушицької </w:t>
            </w:r>
            <w:proofErr w:type="spellStart"/>
            <w:r w:rsidRPr="003244B4">
              <w:t>селищної</w:t>
            </w:r>
            <w:proofErr w:type="spellEnd"/>
            <w:r w:rsidRPr="003244B4">
              <w:t xml:space="preserve"> ради</w:t>
            </w:r>
          </w:p>
          <w:p w:rsidR="001205AE" w:rsidRPr="003244B4" w:rsidRDefault="001205AE" w:rsidP="00445417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244B4">
              <w:rPr>
                <w:lang w:val="ru-RU"/>
              </w:rPr>
              <w:t>Новоушицький</w:t>
            </w:r>
            <w:proofErr w:type="spellEnd"/>
            <w:r w:rsidRPr="003244B4">
              <w:rPr>
                <w:lang w:val="ru-RU"/>
              </w:rPr>
              <w:t xml:space="preserve"> т</w:t>
            </w:r>
            <w:proofErr w:type="spellStart"/>
            <w:r w:rsidRPr="003244B4">
              <w:t>ериторіальний</w:t>
            </w:r>
            <w:proofErr w:type="spellEnd"/>
            <w:r w:rsidRPr="003244B4">
              <w:t xml:space="preserve"> центр</w:t>
            </w:r>
            <w:r w:rsidRPr="003244B4">
              <w:rPr>
                <w:lang w:val="ru-RU"/>
              </w:rPr>
              <w:t xml:space="preserve"> </w:t>
            </w:r>
            <w:proofErr w:type="spellStart"/>
            <w:proofErr w:type="gramStart"/>
            <w:r w:rsidRPr="003244B4">
              <w:rPr>
                <w:lang w:val="ru-RU"/>
              </w:rPr>
              <w:t>соц</w:t>
            </w:r>
            <w:proofErr w:type="spellEnd"/>
            <w:proofErr w:type="gramEnd"/>
            <w:r w:rsidRPr="003244B4">
              <w:t>і</w:t>
            </w:r>
            <w:proofErr w:type="spellStart"/>
            <w:r w:rsidRPr="003244B4">
              <w:rPr>
                <w:lang w:val="ru-RU"/>
              </w:rPr>
              <w:t>ального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обслуговування</w:t>
            </w:r>
            <w:proofErr w:type="spellEnd"/>
            <w:r w:rsidRPr="003244B4">
              <w:rPr>
                <w:lang w:val="ru-RU"/>
              </w:rPr>
              <w:t xml:space="preserve"> (</w:t>
            </w:r>
            <w:proofErr w:type="spellStart"/>
            <w:r w:rsidRPr="003244B4">
              <w:rPr>
                <w:lang w:val="ru-RU"/>
              </w:rPr>
              <w:t>надання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соціальних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послуг</w:t>
            </w:r>
            <w:proofErr w:type="spellEnd"/>
            <w:r w:rsidRPr="003244B4">
              <w:rPr>
                <w:lang w:val="ru-RU"/>
              </w:rPr>
              <w:t>)</w:t>
            </w:r>
          </w:p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Учасники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r w:rsidRPr="003244B4">
              <w:t>  </w:t>
            </w:r>
            <w:proofErr w:type="spellStart"/>
            <w:r w:rsidRPr="003244B4">
              <w:t>Комунальне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некомерційне</w:t>
            </w:r>
            <w:proofErr w:type="spellEnd"/>
            <w:r w:rsidRPr="003244B4">
              <w:t xml:space="preserve"> </w:t>
            </w:r>
            <w:proofErr w:type="spellStart"/>
            <w:proofErr w:type="gramStart"/>
            <w:r w:rsidRPr="003244B4">
              <w:t>п</w:t>
            </w:r>
            <w:proofErr w:type="gramEnd"/>
            <w:r w:rsidRPr="003244B4">
              <w:t>ідприємство</w:t>
            </w:r>
            <w:proofErr w:type="spellEnd"/>
            <w:r w:rsidRPr="003244B4">
              <w:t xml:space="preserve">  «</w:t>
            </w:r>
            <w:proofErr w:type="spellStart"/>
            <w:r w:rsidRPr="003244B4">
              <w:t>Новоушицький</w:t>
            </w:r>
            <w:proofErr w:type="spellEnd"/>
            <w:r w:rsidRPr="003244B4">
              <w:t xml:space="preserve">  центр </w:t>
            </w:r>
            <w:proofErr w:type="spellStart"/>
            <w:r w:rsidRPr="003244B4">
              <w:t>первинної</w:t>
            </w:r>
            <w:proofErr w:type="spellEnd"/>
            <w:r w:rsidRPr="003244B4">
              <w:t xml:space="preserve">  медико– </w:t>
            </w:r>
            <w:proofErr w:type="spellStart"/>
            <w:r w:rsidRPr="003244B4">
              <w:t>санітарної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допомоги</w:t>
            </w:r>
            <w:proofErr w:type="spellEnd"/>
            <w:r w:rsidRPr="003244B4">
              <w:t xml:space="preserve">» Новоушицької </w:t>
            </w:r>
            <w:proofErr w:type="spellStart"/>
            <w:r w:rsidRPr="003244B4">
              <w:t>селищної</w:t>
            </w:r>
            <w:proofErr w:type="spellEnd"/>
            <w:r w:rsidRPr="003244B4">
              <w:t xml:space="preserve"> ради</w:t>
            </w:r>
          </w:p>
          <w:p w:rsidR="001205AE" w:rsidRPr="003244B4" w:rsidRDefault="001205AE" w:rsidP="00445417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244B4">
              <w:rPr>
                <w:lang w:val="ru-RU"/>
              </w:rPr>
              <w:t>Новоушицький</w:t>
            </w:r>
            <w:proofErr w:type="spellEnd"/>
            <w:r w:rsidRPr="003244B4">
              <w:rPr>
                <w:lang w:val="ru-RU"/>
              </w:rPr>
              <w:t xml:space="preserve"> т</w:t>
            </w:r>
            <w:proofErr w:type="spellStart"/>
            <w:r w:rsidRPr="003244B4">
              <w:t>ериторіальний</w:t>
            </w:r>
            <w:proofErr w:type="spellEnd"/>
            <w:r w:rsidRPr="003244B4">
              <w:t xml:space="preserve"> центр</w:t>
            </w:r>
            <w:r w:rsidRPr="003244B4">
              <w:rPr>
                <w:lang w:val="ru-RU"/>
              </w:rPr>
              <w:t xml:space="preserve"> </w:t>
            </w:r>
            <w:proofErr w:type="spellStart"/>
            <w:proofErr w:type="gramStart"/>
            <w:r w:rsidRPr="003244B4">
              <w:rPr>
                <w:lang w:val="ru-RU"/>
              </w:rPr>
              <w:t>соц</w:t>
            </w:r>
            <w:proofErr w:type="spellEnd"/>
            <w:proofErr w:type="gramEnd"/>
            <w:r w:rsidRPr="003244B4">
              <w:t>і</w:t>
            </w:r>
            <w:proofErr w:type="spellStart"/>
            <w:r w:rsidRPr="003244B4">
              <w:rPr>
                <w:lang w:val="ru-RU"/>
              </w:rPr>
              <w:t>ального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обслуговування</w:t>
            </w:r>
            <w:proofErr w:type="spellEnd"/>
            <w:r w:rsidRPr="003244B4">
              <w:rPr>
                <w:lang w:val="ru-RU"/>
              </w:rPr>
              <w:t xml:space="preserve"> (</w:t>
            </w:r>
            <w:proofErr w:type="spellStart"/>
            <w:r w:rsidRPr="003244B4">
              <w:rPr>
                <w:lang w:val="ru-RU"/>
              </w:rPr>
              <w:t>надання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соціальних</w:t>
            </w:r>
            <w:proofErr w:type="spellEnd"/>
            <w:r w:rsidRPr="003244B4">
              <w:rPr>
                <w:lang w:val="ru-RU"/>
              </w:rPr>
              <w:t xml:space="preserve"> </w:t>
            </w:r>
            <w:proofErr w:type="spellStart"/>
            <w:r w:rsidRPr="003244B4">
              <w:rPr>
                <w:lang w:val="ru-RU"/>
              </w:rPr>
              <w:t>послуг</w:t>
            </w:r>
            <w:proofErr w:type="spellEnd"/>
            <w:r w:rsidRPr="003244B4">
              <w:rPr>
                <w:lang w:val="ru-RU"/>
              </w:rPr>
              <w:t>)</w:t>
            </w:r>
          </w:p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.7.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Термін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реалізації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r w:rsidRPr="003244B4">
              <w:t> </w:t>
            </w:r>
          </w:p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center"/>
            </w:pPr>
            <w:r w:rsidRPr="003244B4">
              <w:t>2020 роки</w:t>
            </w:r>
          </w:p>
        </w:tc>
      </w:tr>
      <w:tr w:rsidR="001205AE" w:rsidRPr="003244B4" w:rsidTr="0044541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right"/>
            </w:pPr>
            <w:r w:rsidRPr="003244B4">
              <w:rPr>
                <w:caps/>
              </w:rPr>
              <w:t>8.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</w:pPr>
            <w:proofErr w:type="spellStart"/>
            <w:r w:rsidRPr="003244B4">
              <w:t>Перелік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місцевих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бюджеті</w:t>
            </w:r>
            <w:proofErr w:type="gramStart"/>
            <w:r w:rsidRPr="003244B4">
              <w:t>в</w:t>
            </w:r>
            <w:proofErr w:type="spellEnd"/>
            <w:proofErr w:type="gramEnd"/>
            <w:r w:rsidRPr="003244B4">
              <w:t xml:space="preserve">, </w:t>
            </w:r>
            <w:proofErr w:type="spellStart"/>
            <w:proofErr w:type="gramStart"/>
            <w:r w:rsidRPr="003244B4">
              <w:t>як</w:t>
            </w:r>
            <w:proofErr w:type="gramEnd"/>
            <w:r w:rsidRPr="003244B4">
              <w:t>і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беруть</w:t>
            </w:r>
            <w:proofErr w:type="spellEnd"/>
            <w:r w:rsidRPr="003244B4">
              <w:t xml:space="preserve"> участь у </w:t>
            </w:r>
            <w:proofErr w:type="spellStart"/>
            <w:r w:rsidRPr="003244B4">
              <w:t>виконанні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програми</w:t>
            </w:r>
            <w:proofErr w:type="spellEnd"/>
            <w:r w:rsidRPr="003244B4">
              <w:t xml:space="preserve"> (для </w:t>
            </w:r>
            <w:proofErr w:type="spellStart"/>
            <w:r w:rsidRPr="003244B4">
              <w:t>комплексних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програм</w:t>
            </w:r>
            <w:proofErr w:type="spellEnd"/>
            <w:r w:rsidRPr="003244B4">
              <w:t>)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5AE" w:rsidRPr="003244B4" w:rsidRDefault="001205AE" w:rsidP="00445417">
            <w:pPr>
              <w:pStyle w:val="a3"/>
              <w:spacing w:before="0" w:beforeAutospacing="0" w:after="0" w:afterAutospacing="0"/>
              <w:jc w:val="center"/>
            </w:pPr>
            <w:r w:rsidRPr="003244B4">
              <w:t xml:space="preserve">Бюджет </w:t>
            </w:r>
            <w:proofErr w:type="spellStart"/>
            <w:r w:rsidRPr="003244B4">
              <w:t>об’єднаної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територіальної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громади</w:t>
            </w:r>
            <w:proofErr w:type="spellEnd"/>
            <w:r w:rsidRPr="003244B4">
              <w:t xml:space="preserve">,  </w:t>
            </w:r>
            <w:proofErr w:type="spellStart"/>
            <w:r w:rsidRPr="003244B4">
              <w:t>інші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незаборонені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джерела</w:t>
            </w:r>
            <w:proofErr w:type="spellEnd"/>
            <w:r w:rsidRPr="003244B4">
              <w:t xml:space="preserve"> </w:t>
            </w:r>
            <w:proofErr w:type="spellStart"/>
            <w:r w:rsidRPr="003244B4">
              <w:t>фінансування</w:t>
            </w:r>
            <w:proofErr w:type="spellEnd"/>
            <w:r w:rsidRPr="003244B4">
              <w:t>.</w:t>
            </w:r>
          </w:p>
        </w:tc>
      </w:tr>
    </w:tbl>
    <w:p w:rsidR="001205AE" w:rsidRPr="003244B4" w:rsidRDefault="001205AE" w:rsidP="003244B4">
      <w:pPr>
        <w:pStyle w:val="1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Програма розрахована  на підтримку зареєстрованих осіб з хронічною нирковою недостатністю, яким в залежності від тяжкості хвороби, необхідно до трьох разів на тиждень проводити гемодіаліз на базі відділення </w:t>
      </w:r>
      <w:proofErr w:type="spellStart"/>
      <w:r w:rsidRPr="003244B4">
        <w:rPr>
          <w:rFonts w:ascii="Times New Roman" w:hAnsi="Times New Roman" w:cs="Times New Roman"/>
          <w:lang w:val="uk-UA"/>
        </w:rPr>
        <w:t>екстракорпоральної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детоксикації Кам’янець-Подільської філії Хмельницької обласної лікарні. Більшість з них у зв’язку з тяжкістю перебігу хвороби потребують медичного супроводу і не можуть користуватися транспортом загального користування.</w:t>
      </w:r>
    </w:p>
    <w:p w:rsidR="001205AE" w:rsidRPr="003244B4" w:rsidRDefault="001205AE" w:rsidP="003244B4">
      <w:pPr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1205AE" w:rsidRPr="003244B4" w:rsidRDefault="001205AE" w:rsidP="003244B4">
      <w:pPr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ІІ. Мета та основні завдання Програми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Мета Програми</w:t>
      </w:r>
      <w:r w:rsidRPr="003244B4">
        <w:rPr>
          <w:rFonts w:ascii="Times New Roman" w:hAnsi="Times New Roman" w:cs="Times New Roman"/>
          <w:lang w:val="uk-UA"/>
        </w:rPr>
        <w:t xml:space="preserve"> - покращення надання медичної допомоги хворим, які потребують гемодіалізу.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Основні завдання Програми</w:t>
      </w:r>
      <w:r w:rsidRPr="003244B4">
        <w:rPr>
          <w:rFonts w:ascii="Times New Roman" w:hAnsi="Times New Roman" w:cs="Times New Roman"/>
          <w:lang w:val="uk-UA"/>
        </w:rPr>
        <w:t>: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lastRenderedPageBreak/>
        <w:t>- дотримання стандартів та протоколів надання медичної допомоги хворим з хронічною нирковою недостатністю;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- забезпечення централізованого безкоштовного перевезення хворих до відділення </w:t>
      </w:r>
      <w:proofErr w:type="spellStart"/>
      <w:r w:rsidRPr="003244B4">
        <w:rPr>
          <w:rFonts w:ascii="Times New Roman" w:hAnsi="Times New Roman" w:cs="Times New Roman"/>
          <w:lang w:val="uk-UA"/>
        </w:rPr>
        <w:t>екстракорпоральної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детоксикації Кам’янець-Подільської філії Хмельницької обласної лікарні, для проведення гемодіалізу та у зворотному напрямку.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- покращення якості обслуговування шляхом участі у спів фінансуванні проекту створення відділення </w:t>
      </w:r>
      <w:proofErr w:type="spellStart"/>
      <w:r w:rsidRPr="003244B4">
        <w:rPr>
          <w:rFonts w:ascii="Times New Roman" w:hAnsi="Times New Roman" w:cs="Times New Roman"/>
          <w:lang w:val="uk-UA"/>
        </w:rPr>
        <w:t>екстракорпоральної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детоксикації у </w:t>
      </w:r>
      <w:proofErr w:type="spellStart"/>
      <w:r w:rsidRPr="003244B4">
        <w:rPr>
          <w:rFonts w:ascii="Times New Roman" w:hAnsi="Times New Roman" w:cs="Times New Roman"/>
          <w:lang w:val="uk-UA"/>
        </w:rPr>
        <w:t>м.Дунаївці</w:t>
      </w:r>
      <w:proofErr w:type="spellEnd"/>
      <w:r w:rsidRPr="003244B4">
        <w:rPr>
          <w:rFonts w:ascii="Times New Roman" w:hAnsi="Times New Roman" w:cs="Times New Roman"/>
          <w:lang w:val="uk-UA"/>
        </w:rPr>
        <w:t>.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>Заходи виконання Програми  в Додатку.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:rsidR="001205AE" w:rsidRPr="003244B4" w:rsidRDefault="001205AE" w:rsidP="003244B4">
      <w:pPr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ІІІ. Очікувані результати від реалізації Програми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>Виконання Програми дасть змогу поліпшити стан надання медичної допомоги хворим на хронічну ниркову недостатність.</w:t>
      </w:r>
    </w:p>
    <w:p w:rsidR="001205AE" w:rsidRPr="003244B4" w:rsidRDefault="001205AE" w:rsidP="003244B4">
      <w:pPr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   </w:t>
      </w:r>
    </w:p>
    <w:p w:rsidR="001205AE" w:rsidRPr="003244B4" w:rsidRDefault="001205AE" w:rsidP="003244B4">
      <w:pPr>
        <w:ind w:firstLine="708"/>
        <w:jc w:val="center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IV. Обсяги і джерела фінансування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3244B4">
        <w:rPr>
          <w:rFonts w:ascii="Times New Roman" w:hAnsi="Times New Roman" w:cs="Times New Roman"/>
          <w:lang w:val="uk-UA"/>
        </w:rPr>
        <w:t>Фінансування проводиться за рахунок коштів бюджету об’єднаної територіальної громади  у розмірі  961652 грн., трансфертів з інших бюджетів, а також можливе фінансування з інших незаборонених законодавством джерел.</w:t>
      </w:r>
      <w:r w:rsidRPr="003244B4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1205AE" w:rsidRPr="003244B4" w:rsidRDefault="001205AE" w:rsidP="003244B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Фінансування заходів запланованих від інших сільських рад району здійснюється з бюджету даних сільських рад. Обсяг фінансування Програми  може уточнюватися на протязі року,  відповідно може збільшуватись або зменшуватись. </w:t>
      </w:r>
    </w:p>
    <w:p w:rsidR="001205AE" w:rsidRPr="003244B4" w:rsidRDefault="001205AE" w:rsidP="003244B4">
      <w:pPr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  </w:t>
      </w:r>
    </w:p>
    <w:p w:rsidR="001205AE" w:rsidRPr="003244B4" w:rsidRDefault="001205AE" w:rsidP="003244B4">
      <w:pPr>
        <w:ind w:firstLine="708"/>
        <w:jc w:val="center"/>
        <w:rPr>
          <w:rFonts w:ascii="Times New Roman" w:hAnsi="Times New Roman" w:cs="Times New Roman"/>
          <w:b/>
          <w:bCs/>
          <w:lang w:val="uk-UA"/>
        </w:rPr>
      </w:pPr>
      <w:r w:rsidRPr="003244B4">
        <w:rPr>
          <w:rFonts w:ascii="Times New Roman" w:hAnsi="Times New Roman" w:cs="Times New Roman"/>
          <w:b/>
          <w:bCs/>
          <w:lang w:val="uk-UA"/>
        </w:rPr>
        <w:t>V. Організація і контроль за виконанням програми</w:t>
      </w:r>
    </w:p>
    <w:p w:rsidR="001205AE" w:rsidRPr="003244B4" w:rsidRDefault="001205AE" w:rsidP="003244B4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 xml:space="preserve">Надати дозвіл  </w:t>
      </w:r>
      <w:proofErr w:type="spellStart"/>
      <w:r w:rsidRPr="003244B4">
        <w:rPr>
          <w:rFonts w:ascii="Times New Roman" w:hAnsi="Times New Roman" w:cs="Times New Roman"/>
          <w:lang w:val="uk-UA"/>
        </w:rPr>
        <w:t>Новоушицькому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територіальному центру соціального обслуговування (надання соціальних послуг), КНП «</w:t>
      </w:r>
      <w:proofErr w:type="spellStart"/>
      <w:r w:rsidRPr="003244B4">
        <w:rPr>
          <w:rFonts w:ascii="Times New Roman" w:hAnsi="Times New Roman" w:cs="Times New Roman"/>
          <w:lang w:val="uk-UA"/>
        </w:rPr>
        <w:t>Новоушицький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центр ПМСД» на транспортування хворих від місця проживання хворого до Нової </w:t>
      </w:r>
      <w:proofErr w:type="spellStart"/>
      <w:r w:rsidRPr="003244B4">
        <w:rPr>
          <w:rFonts w:ascii="Times New Roman" w:hAnsi="Times New Roman" w:cs="Times New Roman"/>
          <w:lang w:val="uk-UA"/>
        </w:rPr>
        <w:t>Ушиці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, від Нової </w:t>
      </w:r>
      <w:proofErr w:type="spellStart"/>
      <w:r w:rsidRPr="003244B4">
        <w:rPr>
          <w:rFonts w:ascii="Times New Roman" w:hAnsi="Times New Roman" w:cs="Times New Roman"/>
          <w:lang w:val="uk-UA"/>
        </w:rPr>
        <w:t>Ушиці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до відділення </w:t>
      </w:r>
      <w:proofErr w:type="spellStart"/>
      <w:r w:rsidRPr="003244B4">
        <w:rPr>
          <w:rFonts w:ascii="Times New Roman" w:hAnsi="Times New Roman" w:cs="Times New Roman"/>
          <w:lang w:val="uk-UA"/>
        </w:rPr>
        <w:t>екстракорпоральної</w:t>
      </w:r>
      <w:proofErr w:type="spellEnd"/>
      <w:r w:rsidRPr="003244B4">
        <w:rPr>
          <w:rFonts w:ascii="Times New Roman" w:hAnsi="Times New Roman" w:cs="Times New Roman"/>
          <w:lang w:val="uk-UA"/>
        </w:rPr>
        <w:t xml:space="preserve"> детоксикації Кам’янець-Подільської філії Хмельницької обласної лікарні та у зворотному напрямку. </w:t>
      </w:r>
    </w:p>
    <w:p w:rsidR="001205AE" w:rsidRPr="003244B4" w:rsidRDefault="001205AE" w:rsidP="003244B4">
      <w:pPr>
        <w:ind w:firstLine="70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244B4">
        <w:rPr>
          <w:rFonts w:ascii="Times New Roman" w:hAnsi="Times New Roman" w:cs="Times New Roman"/>
          <w:lang w:val="uk-UA"/>
        </w:rPr>
        <w:t>Звіт про виконання Програми подається</w:t>
      </w:r>
      <w:r w:rsidRPr="003244B4">
        <w:rPr>
          <w:rFonts w:ascii="Times New Roman" w:hAnsi="Times New Roman" w:cs="Times New Roman"/>
          <w:color w:val="000000"/>
          <w:lang w:val="uk-UA"/>
        </w:rPr>
        <w:t xml:space="preserve"> Новоушицькій селищній раді відповідальними виконавцями</w:t>
      </w:r>
      <w:r w:rsidRPr="003244B4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</w:p>
    <w:p w:rsidR="001205AE" w:rsidRPr="003244B4" w:rsidRDefault="001205AE" w:rsidP="003244B4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3244B4">
        <w:rPr>
          <w:rFonts w:ascii="Times New Roman" w:hAnsi="Times New Roman" w:cs="Times New Roman"/>
          <w:lang w:val="uk-UA"/>
        </w:rPr>
        <w:t>Контроль за виконанням заходів Програми, координацію діяльності по її реалізації покласти на виконавчий комітет Новоушицької селищної ради та постійні комісії селищної ради.</w:t>
      </w:r>
    </w:p>
    <w:p w:rsidR="001205AE" w:rsidRPr="00470BD6" w:rsidRDefault="001205AE" w:rsidP="003244B4">
      <w:pPr>
        <w:rPr>
          <w:rFonts w:ascii="Times New Roman" w:hAnsi="Times New Roman" w:cs="Times New Roman"/>
          <w:b/>
          <w:lang w:val="uk-UA"/>
        </w:rPr>
      </w:pPr>
      <w:r w:rsidRPr="00470BD6">
        <w:rPr>
          <w:rFonts w:ascii="Times New Roman" w:hAnsi="Times New Roman" w:cs="Times New Roman"/>
          <w:b/>
          <w:lang w:val="uk-UA"/>
        </w:rPr>
        <w:t xml:space="preserve">                   Секретар ради  </w:t>
      </w:r>
      <w:r w:rsidRPr="00470BD6">
        <w:rPr>
          <w:rFonts w:ascii="Times New Roman" w:hAnsi="Times New Roman" w:cs="Times New Roman"/>
          <w:b/>
          <w:lang w:val="uk-UA"/>
        </w:rPr>
        <w:tab/>
        <w:t xml:space="preserve">                                                                С.Мегель</w:t>
      </w: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  <w:r w:rsidRPr="003244B4">
        <w:rPr>
          <w:rFonts w:ascii="Times New Roman" w:hAnsi="Times New Roman" w:cs="Times New Roman"/>
          <w:sz w:val="20"/>
          <w:szCs w:val="20"/>
          <w:lang w:val="uk-UA"/>
        </w:rPr>
        <w:t>Додаток</w:t>
      </w:r>
      <w:r w:rsidRPr="003244B4">
        <w:rPr>
          <w:rFonts w:ascii="Times New Roman" w:hAnsi="Times New Roman" w:cs="Times New Roman"/>
          <w:sz w:val="20"/>
          <w:szCs w:val="20"/>
          <w:lang w:val="uk-UA"/>
        </w:rPr>
        <w:br/>
        <w:t xml:space="preserve">до Програми покращення надання медичної допомоги хворим, які потребують гемодіалізу на 2020 рік </w:t>
      </w:r>
    </w:p>
    <w:p w:rsidR="001205AE" w:rsidRPr="003244B4" w:rsidRDefault="001205AE" w:rsidP="003244B4">
      <w:pPr>
        <w:ind w:left="5984"/>
        <w:rPr>
          <w:rFonts w:ascii="Times New Roman" w:hAnsi="Times New Roman" w:cs="Times New Roman"/>
          <w:sz w:val="20"/>
          <w:szCs w:val="20"/>
          <w:lang w:val="uk-UA"/>
        </w:rPr>
      </w:pPr>
    </w:p>
    <w:p w:rsidR="001205AE" w:rsidRPr="003244B4" w:rsidRDefault="001205AE" w:rsidP="003244B4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3244B4">
        <w:rPr>
          <w:rFonts w:ascii="Times New Roman" w:hAnsi="Times New Roman" w:cs="Times New Roman"/>
          <w:b/>
          <w:bCs/>
          <w:sz w:val="20"/>
          <w:szCs w:val="20"/>
          <w:lang w:val="uk-UA"/>
        </w:rPr>
        <w:t>Завдання та заходи щодо виконання Програми  покращення   надання медичної допомоги хворим, які потребують гемодіалізу на 2020 рік.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129"/>
        <w:gridCol w:w="2694"/>
        <w:gridCol w:w="489"/>
        <w:gridCol w:w="2255"/>
        <w:gridCol w:w="1022"/>
        <w:gridCol w:w="1325"/>
      </w:tblGrid>
      <w:tr w:rsidR="001205AE" w:rsidRPr="003244B4" w:rsidTr="00445417">
        <w:trPr>
          <w:cantSplit/>
          <w:trHeight w:val="20"/>
          <w:jc w:val="center"/>
        </w:trPr>
        <w:tc>
          <w:tcPr>
            <w:tcW w:w="403" w:type="dxa"/>
            <w:vMerge w:val="restart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зп</w:t>
            </w:r>
            <w:proofErr w:type="spellEnd"/>
          </w:p>
        </w:tc>
        <w:tc>
          <w:tcPr>
            <w:tcW w:w="2038" w:type="dxa"/>
            <w:vMerge w:val="restart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завдань</w:t>
            </w:r>
          </w:p>
        </w:tc>
        <w:tc>
          <w:tcPr>
            <w:tcW w:w="2579" w:type="dxa"/>
            <w:vMerge w:val="restart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2159" w:type="dxa"/>
            <w:vMerge w:val="restart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268" w:type="dxa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Орієнтовний обсяг фінансування </w:t>
            </w: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(грн.)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68" w:type="dxa"/>
            <w:vMerge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Роки 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68" w:type="dxa"/>
            <w:vMerge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2020</w:t>
            </w: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 w:val="restart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038" w:type="dxa"/>
            <w:vMerge w:val="restart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Дотримання стандартів та протоколів надання медичної допомоги хворим з хронічною нирковою недостатністю </w:t>
            </w:r>
          </w:p>
        </w:tc>
        <w:tc>
          <w:tcPr>
            <w:tcW w:w="2579" w:type="dxa"/>
            <w:tcBorders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Забезпечувати діагностику та диспансерний нагляд за хворими, їх своєчасну реєстрацію та облік, медикаментозне забезпечення: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159" w:type="dxa"/>
            <w:vMerge w:val="restart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КНП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Новоушицький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первинної медико-санітарної допомоги</w:t>
            </w:r>
          </w:p>
        </w:tc>
        <w:tc>
          <w:tcPr>
            <w:tcW w:w="978" w:type="dxa"/>
            <w:vMerge w:val="restart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 об’єднаної територіальної громади</w:t>
            </w:r>
          </w:p>
        </w:tc>
        <w:tc>
          <w:tcPr>
            <w:tcW w:w="1268" w:type="dxa"/>
            <w:vMerge w:val="restart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17900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а)медикаментозний супровід гемодіалізу;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05AE" w:rsidRPr="003244B4" w:rsidTr="00445417">
        <w:trPr>
          <w:trHeight w:val="1272"/>
          <w:jc w:val="center"/>
        </w:trPr>
        <w:tc>
          <w:tcPr>
            <w:tcW w:w="403" w:type="dxa"/>
            <w:vMerge w:val="restart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038" w:type="dxa"/>
            <w:tcBorders>
              <w:bottom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централізоване безкоштовне перевезення хворих:</w:t>
            </w:r>
          </w:p>
        </w:tc>
        <w:tc>
          <w:tcPr>
            <w:tcW w:w="2579" w:type="dxa"/>
            <w:tcBorders>
              <w:bottom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Передбачити в селищному бюджеті необхідні кошти для забезпечення перевезення хворих: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159" w:type="dxa"/>
            <w:vMerge w:val="restart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КНП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Новоушицький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первинної медико-санітарної допомоги</w:t>
            </w:r>
          </w:p>
        </w:tc>
        <w:tc>
          <w:tcPr>
            <w:tcW w:w="978" w:type="dxa"/>
            <w:vMerge w:val="restart"/>
          </w:tcPr>
          <w:p w:rsidR="001205AE" w:rsidRPr="003244B4" w:rsidRDefault="001205AE" w:rsidP="00445417">
            <w:pPr>
              <w:rPr>
                <w:rFonts w:ascii="Times New Roman" w:hAnsi="Times New Roman" w:cs="Times New Roman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 об’єднаної територіальної громади</w:t>
            </w:r>
          </w:p>
        </w:tc>
        <w:tc>
          <w:tcPr>
            <w:tcW w:w="1268" w:type="dxa"/>
          </w:tcPr>
          <w:p w:rsidR="001205AE" w:rsidRPr="003244B4" w:rsidRDefault="001205AE" w:rsidP="00445417">
            <w:pPr>
              <w:pStyle w:val="1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2.1. Від місця проживання хворого до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Нова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Ушиця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у зворотному напрямку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а) Паливно-мастильні матеріали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115315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б) Технічне обслуговування автомобіля</w:t>
            </w:r>
          </w:p>
          <w:p w:rsidR="001205AE" w:rsidRPr="003244B4" w:rsidRDefault="001205AE" w:rsidP="004454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в) заробітна плата</w:t>
            </w:r>
          </w:p>
          <w:p w:rsidR="001205AE" w:rsidRPr="003244B4" w:rsidRDefault="001205AE" w:rsidP="00445417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г) нарахування на заробітну плату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60000</w:t>
            </w: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83558</w:t>
            </w: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18382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 w:val="restart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2.2. Від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Нова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Ушиця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відділення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екстракорпоральної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детоксикації Кам’янець-Подільської філії (при відкритті  відділення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екстракорпоральної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детоксикації у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м.Дунаївці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м.Дунаївці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3244B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Хмельницької обласної лікарні для проведення гемодіалізу та у зворотному напрямку.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а) Паливно-мастильні матеріали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159" w:type="dxa"/>
            <w:vMerge w:val="restart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Новоушицький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територіальний центр соціального обслуговування (надання соціальних послуг)</w:t>
            </w:r>
          </w:p>
        </w:tc>
        <w:tc>
          <w:tcPr>
            <w:tcW w:w="978" w:type="dxa"/>
            <w:vMerge w:val="restart"/>
          </w:tcPr>
          <w:p w:rsidR="001205AE" w:rsidRPr="003244B4" w:rsidRDefault="001205AE" w:rsidP="00445417">
            <w:pPr>
              <w:rPr>
                <w:rFonts w:ascii="Times New Roman" w:hAnsi="Times New Roman" w:cs="Times New Roman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 об’єднаної територіальної громади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69327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б) технічне обслуговування автомобіля, запчастини, страхування 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25000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в) придбання нового автомобіля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г) заробітна плата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59156</w:t>
            </w:r>
          </w:p>
        </w:tc>
      </w:tr>
      <w:tr w:rsidR="001205AE" w:rsidRPr="003244B4" w:rsidTr="00445417">
        <w:trPr>
          <w:trHeight w:val="20"/>
          <w:jc w:val="center"/>
        </w:trPr>
        <w:tc>
          <w:tcPr>
            <w:tcW w:w="403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  <w:vMerge/>
            <w:tcBorders>
              <w:top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79" w:type="dxa"/>
            <w:tcBorders>
              <w:top w:val="nil"/>
            </w:tcBorders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д) нарахування на  заробітну плату</w:t>
            </w:r>
          </w:p>
        </w:tc>
        <w:tc>
          <w:tcPr>
            <w:tcW w:w="468" w:type="dxa"/>
            <w:vMerge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  <w:vMerge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  <w:vMerge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13014</w:t>
            </w:r>
          </w:p>
        </w:tc>
      </w:tr>
      <w:tr w:rsidR="001205AE" w:rsidRPr="003244B4" w:rsidTr="00445417">
        <w:trPr>
          <w:cantSplit/>
          <w:trHeight w:val="20"/>
          <w:jc w:val="center"/>
        </w:trPr>
        <w:tc>
          <w:tcPr>
            <w:tcW w:w="403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203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Інша Субвенція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Дунаєвецька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ОТГ</w:t>
            </w:r>
          </w:p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Участь у спів фінансуванні проекту створення відділення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екстракорпоральної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детоксикації у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м.Дунаївці</w:t>
            </w:r>
            <w:proofErr w:type="spellEnd"/>
          </w:p>
        </w:tc>
        <w:tc>
          <w:tcPr>
            <w:tcW w:w="2579" w:type="dxa"/>
          </w:tcPr>
          <w:p w:rsidR="001205AE" w:rsidRPr="003244B4" w:rsidRDefault="001205AE" w:rsidP="00445417">
            <w:pPr>
              <w:tabs>
                <w:tab w:val="left" w:pos="7293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Наблизити та покращити обслуговування хворих </w:t>
            </w:r>
          </w:p>
        </w:tc>
        <w:tc>
          <w:tcPr>
            <w:tcW w:w="468" w:type="dxa"/>
          </w:tcPr>
          <w:p w:rsidR="001205AE" w:rsidRPr="003244B4" w:rsidRDefault="001205AE" w:rsidP="00445417">
            <w:pPr>
              <w:tabs>
                <w:tab w:val="left" w:pos="7293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</w:tcPr>
          <w:p w:rsidR="001205AE" w:rsidRPr="003244B4" w:rsidRDefault="001205AE" w:rsidP="00445417">
            <w:pPr>
              <w:tabs>
                <w:tab w:val="left" w:pos="7293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Новоушицька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  <w:p w:rsidR="001205AE" w:rsidRPr="003244B4" w:rsidRDefault="001205AE" w:rsidP="00445417">
            <w:pPr>
              <w:tabs>
                <w:tab w:val="left" w:pos="7293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Дунаєвецька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978" w:type="dxa"/>
          </w:tcPr>
          <w:p w:rsidR="001205AE" w:rsidRPr="003244B4" w:rsidRDefault="001205AE" w:rsidP="00445417">
            <w:pPr>
              <w:rPr>
                <w:rFonts w:ascii="Times New Roman" w:hAnsi="Times New Roman" w:cs="Times New Roman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 об’єднаної територіальної громади</w:t>
            </w:r>
          </w:p>
        </w:tc>
        <w:tc>
          <w:tcPr>
            <w:tcW w:w="126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500000</w:t>
            </w:r>
          </w:p>
        </w:tc>
      </w:tr>
      <w:tr w:rsidR="001205AE" w:rsidRPr="003244B4" w:rsidTr="00445417">
        <w:trPr>
          <w:cantSplit/>
          <w:trHeight w:val="20"/>
          <w:jc w:val="center"/>
        </w:trPr>
        <w:tc>
          <w:tcPr>
            <w:tcW w:w="403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203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зимовий час забезпечити безперешкодний проїзд санітарного транспорту до сіл, де проживають хворі та до лікувального закладу</w:t>
            </w:r>
          </w:p>
        </w:tc>
        <w:tc>
          <w:tcPr>
            <w:tcW w:w="2579" w:type="dxa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Своєчасна розчистка дорожнього покриття від снігу</w:t>
            </w:r>
          </w:p>
        </w:tc>
        <w:tc>
          <w:tcPr>
            <w:tcW w:w="468" w:type="dxa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159" w:type="dxa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Селищна рада, Дорожньо-ремонтний пункт № 2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Дунаєвецької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дорожньо-експлуатаційної комісії, філія «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Новоушицький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райавтодор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97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268" w:type="dxa"/>
            <w:textDirection w:val="btL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05AE" w:rsidRPr="003244B4" w:rsidTr="00445417">
        <w:trPr>
          <w:cantSplit/>
          <w:trHeight w:val="2046"/>
          <w:jc w:val="center"/>
        </w:trPr>
        <w:tc>
          <w:tcPr>
            <w:tcW w:w="403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203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виникненні надзвичайних ситуацій під час перевезення хворих максимально забезпечити проїзд санітарного транспорту</w:t>
            </w:r>
          </w:p>
        </w:tc>
        <w:tc>
          <w:tcPr>
            <w:tcW w:w="2579" w:type="dxa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Максимально забезпечити проїзд санітарного транспорту.</w:t>
            </w:r>
          </w:p>
        </w:tc>
        <w:tc>
          <w:tcPr>
            <w:tcW w:w="468" w:type="dxa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2159" w:type="dxa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Новоушицький</w:t>
            </w:r>
            <w:proofErr w:type="spellEnd"/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районний сектор головного управління державної служби надзвичайних ситуацій в Хмельницькій області</w:t>
            </w:r>
          </w:p>
        </w:tc>
        <w:tc>
          <w:tcPr>
            <w:tcW w:w="97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асигнувань виконавця</w:t>
            </w:r>
          </w:p>
        </w:tc>
        <w:tc>
          <w:tcPr>
            <w:tcW w:w="1268" w:type="dxa"/>
            <w:textDirection w:val="btL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205AE" w:rsidRPr="003244B4" w:rsidTr="00445417">
        <w:trPr>
          <w:cantSplit/>
          <w:trHeight w:val="697"/>
          <w:jc w:val="center"/>
        </w:trPr>
        <w:tc>
          <w:tcPr>
            <w:tcW w:w="403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3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79" w:type="dxa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8" w:type="dxa"/>
            <w:textDirection w:val="btLr"/>
            <w:vAlign w:val="center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9" w:type="dxa"/>
          </w:tcPr>
          <w:p w:rsidR="001205AE" w:rsidRPr="003244B4" w:rsidRDefault="001205AE" w:rsidP="004454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1205AE" w:rsidRPr="003244B4" w:rsidRDefault="001205AE" w:rsidP="00445417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4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961652</w:t>
            </w:r>
          </w:p>
        </w:tc>
      </w:tr>
    </w:tbl>
    <w:p w:rsidR="001205AE" w:rsidRPr="003244B4" w:rsidRDefault="001205AE" w:rsidP="003244B4">
      <w:pPr>
        <w:tabs>
          <w:tab w:val="left" w:pos="7293"/>
        </w:tabs>
        <w:spacing w:before="120"/>
        <w:rPr>
          <w:rFonts w:ascii="Times New Roman" w:hAnsi="Times New Roman" w:cs="Times New Roman"/>
          <w:lang w:val="uk-UA"/>
        </w:rPr>
      </w:pPr>
    </w:p>
    <w:p w:rsidR="001205AE" w:rsidRPr="003244B4" w:rsidRDefault="001205AE" w:rsidP="003244B4">
      <w:pPr>
        <w:tabs>
          <w:tab w:val="left" w:pos="7293"/>
        </w:tabs>
        <w:spacing w:before="120"/>
        <w:rPr>
          <w:rFonts w:ascii="Times New Roman" w:hAnsi="Times New Roman" w:cs="Times New Roman"/>
          <w:lang w:val="uk-UA"/>
        </w:rPr>
      </w:pPr>
    </w:p>
    <w:p w:rsidR="001205AE" w:rsidRPr="00470BD6" w:rsidRDefault="001205AE" w:rsidP="003244B4">
      <w:pPr>
        <w:tabs>
          <w:tab w:val="left" w:pos="7293"/>
        </w:tabs>
        <w:spacing w:before="120"/>
        <w:rPr>
          <w:rFonts w:ascii="Times New Roman" w:hAnsi="Times New Roman" w:cs="Times New Roman"/>
          <w:b/>
          <w:lang w:val="uk-UA"/>
        </w:rPr>
      </w:pPr>
      <w:r w:rsidRPr="00470BD6">
        <w:rPr>
          <w:rFonts w:ascii="Times New Roman" w:hAnsi="Times New Roman" w:cs="Times New Roman"/>
          <w:b/>
          <w:lang w:val="uk-UA"/>
        </w:rPr>
        <w:t xml:space="preserve">Секретар ради                                      </w:t>
      </w:r>
      <w:r w:rsidRPr="00470BD6">
        <w:rPr>
          <w:rFonts w:ascii="Times New Roman" w:hAnsi="Times New Roman" w:cs="Times New Roman"/>
          <w:b/>
        </w:rPr>
        <w:t xml:space="preserve">                            </w:t>
      </w:r>
      <w:proofErr w:type="spellStart"/>
      <w:r w:rsidRPr="00470BD6">
        <w:rPr>
          <w:rFonts w:ascii="Times New Roman" w:hAnsi="Times New Roman" w:cs="Times New Roman"/>
          <w:b/>
        </w:rPr>
        <w:t>С.Мегель</w:t>
      </w:r>
      <w:proofErr w:type="spellEnd"/>
    </w:p>
    <w:p w:rsidR="001205AE" w:rsidRPr="003244B4" w:rsidRDefault="001205AE" w:rsidP="003244B4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1205AE" w:rsidRPr="003244B4" w:rsidSect="002E7319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50" w:rsidRDefault="00F50350" w:rsidP="00133835">
      <w:pPr>
        <w:spacing w:after="0" w:line="240" w:lineRule="auto"/>
      </w:pPr>
      <w:r>
        <w:separator/>
      </w:r>
    </w:p>
  </w:endnote>
  <w:endnote w:type="continuationSeparator" w:id="0">
    <w:p w:rsidR="00F50350" w:rsidRDefault="00F50350" w:rsidP="0013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50" w:rsidRDefault="00F50350" w:rsidP="00133835">
      <w:pPr>
        <w:spacing w:after="0" w:line="240" w:lineRule="auto"/>
      </w:pPr>
      <w:r>
        <w:separator/>
      </w:r>
    </w:p>
  </w:footnote>
  <w:footnote w:type="continuationSeparator" w:id="0">
    <w:p w:rsidR="00F50350" w:rsidRDefault="00F50350" w:rsidP="0013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Symbol" w:hAnsi="Symbol" w:cs="Symbol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Symbol" w:hAnsi="Symbol" w:cs="Symbol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Symbol" w:hAnsi="Symbol" w:cs="Symbol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Symbol" w:hAnsi="Symbol" w:cs="Symbol" w:hint="default"/>
        <w:sz w:val="28"/>
        <w:szCs w:val="28"/>
      </w:rPr>
    </w:lvl>
  </w:abstractNum>
  <w:abstractNum w:abstractNumId="1">
    <w:nsid w:val="01D32382"/>
    <w:multiLevelType w:val="hybridMultilevel"/>
    <w:tmpl w:val="E9DC57FE"/>
    <w:lvl w:ilvl="0" w:tplc="8996CDB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">
    <w:nsid w:val="0A452D67"/>
    <w:multiLevelType w:val="hybridMultilevel"/>
    <w:tmpl w:val="37A42104"/>
    <w:lvl w:ilvl="0" w:tplc="06BA8F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411E508B"/>
    <w:multiLevelType w:val="hybridMultilevel"/>
    <w:tmpl w:val="97028E82"/>
    <w:lvl w:ilvl="0" w:tplc="E4A66366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AE681D"/>
    <w:multiLevelType w:val="hybridMultilevel"/>
    <w:tmpl w:val="237EE7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36B35"/>
    <w:multiLevelType w:val="hybridMultilevel"/>
    <w:tmpl w:val="12C427D4"/>
    <w:lvl w:ilvl="0" w:tplc="B5CCF44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7109D4"/>
    <w:multiLevelType w:val="hybridMultilevel"/>
    <w:tmpl w:val="838860C0"/>
    <w:lvl w:ilvl="0" w:tplc="71BE214A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2305D7"/>
    <w:multiLevelType w:val="hybridMultilevel"/>
    <w:tmpl w:val="7B9C82AC"/>
    <w:lvl w:ilvl="0" w:tplc="4F0A83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993"/>
    <w:rsid w:val="00004D3C"/>
    <w:rsid w:val="0000514D"/>
    <w:rsid w:val="00016B9B"/>
    <w:rsid w:val="000367D0"/>
    <w:rsid w:val="00060E44"/>
    <w:rsid w:val="000678D0"/>
    <w:rsid w:val="00076EAC"/>
    <w:rsid w:val="000D687A"/>
    <w:rsid w:val="000F1EBA"/>
    <w:rsid w:val="00104D1C"/>
    <w:rsid w:val="00115AA5"/>
    <w:rsid w:val="001205AE"/>
    <w:rsid w:val="00121545"/>
    <w:rsid w:val="00133835"/>
    <w:rsid w:val="001478D9"/>
    <w:rsid w:val="0019062D"/>
    <w:rsid w:val="001A751D"/>
    <w:rsid w:val="001B49C4"/>
    <w:rsid w:val="001C31AB"/>
    <w:rsid w:val="001C6AA3"/>
    <w:rsid w:val="001E476B"/>
    <w:rsid w:val="0022241C"/>
    <w:rsid w:val="00235AE7"/>
    <w:rsid w:val="00264394"/>
    <w:rsid w:val="00276A64"/>
    <w:rsid w:val="00282338"/>
    <w:rsid w:val="002A5FC4"/>
    <w:rsid w:val="002B2978"/>
    <w:rsid w:val="002C5140"/>
    <w:rsid w:val="002D414F"/>
    <w:rsid w:val="002E25A9"/>
    <w:rsid w:val="002E5979"/>
    <w:rsid w:val="002E622A"/>
    <w:rsid w:val="002E7319"/>
    <w:rsid w:val="003014E2"/>
    <w:rsid w:val="0031372D"/>
    <w:rsid w:val="003163D8"/>
    <w:rsid w:val="0031676A"/>
    <w:rsid w:val="003244B4"/>
    <w:rsid w:val="003305E1"/>
    <w:rsid w:val="003365B5"/>
    <w:rsid w:val="003835A5"/>
    <w:rsid w:val="003A59AA"/>
    <w:rsid w:val="003A5DCF"/>
    <w:rsid w:val="003C0471"/>
    <w:rsid w:val="003F3C41"/>
    <w:rsid w:val="0040572F"/>
    <w:rsid w:val="0042018D"/>
    <w:rsid w:val="00426BB3"/>
    <w:rsid w:val="00437727"/>
    <w:rsid w:val="00441C07"/>
    <w:rsid w:val="00445417"/>
    <w:rsid w:val="00470BD6"/>
    <w:rsid w:val="00475E5D"/>
    <w:rsid w:val="004807B3"/>
    <w:rsid w:val="00482F49"/>
    <w:rsid w:val="00486B6E"/>
    <w:rsid w:val="00495543"/>
    <w:rsid w:val="004C2EE1"/>
    <w:rsid w:val="004C6616"/>
    <w:rsid w:val="004D2D2A"/>
    <w:rsid w:val="004F76DB"/>
    <w:rsid w:val="00520AA6"/>
    <w:rsid w:val="00544DC3"/>
    <w:rsid w:val="00555E85"/>
    <w:rsid w:val="005735C2"/>
    <w:rsid w:val="005A522C"/>
    <w:rsid w:val="005D0DC9"/>
    <w:rsid w:val="005D33FD"/>
    <w:rsid w:val="005E3E04"/>
    <w:rsid w:val="0061416E"/>
    <w:rsid w:val="0062464C"/>
    <w:rsid w:val="00635CC1"/>
    <w:rsid w:val="00651D1E"/>
    <w:rsid w:val="006567A9"/>
    <w:rsid w:val="0068328C"/>
    <w:rsid w:val="006B2E71"/>
    <w:rsid w:val="006C51DC"/>
    <w:rsid w:val="006E5733"/>
    <w:rsid w:val="007154F1"/>
    <w:rsid w:val="0072745A"/>
    <w:rsid w:val="00732719"/>
    <w:rsid w:val="0075026A"/>
    <w:rsid w:val="00774594"/>
    <w:rsid w:val="00783BA2"/>
    <w:rsid w:val="00787766"/>
    <w:rsid w:val="00794D14"/>
    <w:rsid w:val="0080204E"/>
    <w:rsid w:val="00812F56"/>
    <w:rsid w:val="00836111"/>
    <w:rsid w:val="00854461"/>
    <w:rsid w:val="00876472"/>
    <w:rsid w:val="00896CD8"/>
    <w:rsid w:val="008B43D3"/>
    <w:rsid w:val="008B5078"/>
    <w:rsid w:val="008D7D41"/>
    <w:rsid w:val="00907605"/>
    <w:rsid w:val="00937360"/>
    <w:rsid w:val="00947272"/>
    <w:rsid w:val="00965C0C"/>
    <w:rsid w:val="009B0E27"/>
    <w:rsid w:val="009D0C58"/>
    <w:rsid w:val="00A54FF2"/>
    <w:rsid w:val="00A60271"/>
    <w:rsid w:val="00A71860"/>
    <w:rsid w:val="00A736CA"/>
    <w:rsid w:val="00AA3941"/>
    <w:rsid w:val="00B14E3F"/>
    <w:rsid w:val="00B64F75"/>
    <w:rsid w:val="00B74754"/>
    <w:rsid w:val="00B95BEF"/>
    <w:rsid w:val="00BB4993"/>
    <w:rsid w:val="00BC0C0C"/>
    <w:rsid w:val="00BD2B92"/>
    <w:rsid w:val="00BE0991"/>
    <w:rsid w:val="00BF1446"/>
    <w:rsid w:val="00C326C1"/>
    <w:rsid w:val="00C33533"/>
    <w:rsid w:val="00C509EA"/>
    <w:rsid w:val="00CC1E35"/>
    <w:rsid w:val="00CD41B7"/>
    <w:rsid w:val="00CD6925"/>
    <w:rsid w:val="00D00C72"/>
    <w:rsid w:val="00D07352"/>
    <w:rsid w:val="00D336DA"/>
    <w:rsid w:val="00D36794"/>
    <w:rsid w:val="00D51950"/>
    <w:rsid w:val="00D60E0D"/>
    <w:rsid w:val="00D61081"/>
    <w:rsid w:val="00D644FD"/>
    <w:rsid w:val="00D6720C"/>
    <w:rsid w:val="00D93C07"/>
    <w:rsid w:val="00DA2647"/>
    <w:rsid w:val="00DA5D44"/>
    <w:rsid w:val="00DB3134"/>
    <w:rsid w:val="00DB3F6B"/>
    <w:rsid w:val="00DE0FA1"/>
    <w:rsid w:val="00DE778F"/>
    <w:rsid w:val="00E03DCD"/>
    <w:rsid w:val="00E5761C"/>
    <w:rsid w:val="00E57B87"/>
    <w:rsid w:val="00E60628"/>
    <w:rsid w:val="00E63182"/>
    <w:rsid w:val="00E6541B"/>
    <w:rsid w:val="00E70A44"/>
    <w:rsid w:val="00E81D2C"/>
    <w:rsid w:val="00E955D0"/>
    <w:rsid w:val="00E977DD"/>
    <w:rsid w:val="00EB2785"/>
    <w:rsid w:val="00EB6F12"/>
    <w:rsid w:val="00ED5F9E"/>
    <w:rsid w:val="00EF30EA"/>
    <w:rsid w:val="00F229A8"/>
    <w:rsid w:val="00F31899"/>
    <w:rsid w:val="00F50350"/>
    <w:rsid w:val="00F767F2"/>
    <w:rsid w:val="00FB6429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85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75E5D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1860"/>
    <w:rPr>
      <w:rFonts w:ascii="Arial" w:hAnsi="Arial" w:cs="Arial"/>
      <w:b/>
      <w:bCs/>
      <w:i/>
      <w:iCs/>
      <w:sz w:val="28"/>
      <w:szCs w:val="28"/>
      <w:lang w:val="uk-UA" w:eastAsia="ar-SA"/>
    </w:rPr>
  </w:style>
  <w:style w:type="paragraph" w:styleId="a3">
    <w:name w:val="Normal (Web)"/>
    <w:basedOn w:val="a"/>
    <w:uiPriority w:val="99"/>
    <w:semiHidden/>
    <w:rsid w:val="002E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54FF2"/>
    <w:pPr>
      <w:ind w:left="720"/>
    </w:pPr>
  </w:style>
  <w:style w:type="paragraph" w:styleId="a5">
    <w:name w:val="header"/>
    <w:basedOn w:val="a"/>
    <w:link w:val="a6"/>
    <w:uiPriority w:val="99"/>
    <w:semiHidden/>
    <w:rsid w:val="001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3835"/>
  </w:style>
  <w:style w:type="paragraph" w:styleId="a7">
    <w:name w:val="footer"/>
    <w:basedOn w:val="a"/>
    <w:link w:val="a8"/>
    <w:uiPriority w:val="99"/>
    <w:semiHidden/>
    <w:rsid w:val="0013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33835"/>
  </w:style>
  <w:style w:type="paragraph" w:styleId="a9">
    <w:name w:val="Balloon Text"/>
    <w:basedOn w:val="a"/>
    <w:link w:val="aa"/>
    <w:uiPriority w:val="99"/>
    <w:semiHidden/>
    <w:rsid w:val="0080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0204E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uiPriority w:val="99"/>
    <w:qFormat/>
    <w:rsid w:val="0031676A"/>
    <w:pPr>
      <w:keepNext/>
      <w:widowControl w:val="0"/>
      <w:suppressAutoHyphens/>
      <w:spacing w:before="240" w:after="120" w:line="240" w:lineRule="auto"/>
      <w:jc w:val="center"/>
    </w:pPr>
    <w:rPr>
      <w:rFonts w:ascii="Arial" w:hAnsi="Arial" w:cs="Arial"/>
      <w:b/>
      <w:bCs/>
      <w:kern w:val="1"/>
      <w:sz w:val="36"/>
      <w:szCs w:val="36"/>
    </w:rPr>
  </w:style>
  <w:style w:type="character" w:customStyle="1" w:styleId="ad">
    <w:name w:val="Название Знак"/>
    <w:link w:val="ab"/>
    <w:uiPriority w:val="99"/>
    <w:locked/>
    <w:rsid w:val="0031676A"/>
    <w:rPr>
      <w:rFonts w:ascii="Arial" w:hAnsi="Arial" w:cs="Arial"/>
      <w:b/>
      <w:bCs/>
      <w:kern w:val="1"/>
      <w:sz w:val="36"/>
      <w:szCs w:val="36"/>
    </w:rPr>
  </w:style>
  <w:style w:type="paragraph" w:styleId="ac">
    <w:name w:val="Body Text"/>
    <w:basedOn w:val="a"/>
    <w:link w:val="ae"/>
    <w:uiPriority w:val="99"/>
    <w:semiHidden/>
    <w:rsid w:val="0031676A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locked/>
    <w:rsid w:val="0031676A"/>
  </w:style>
  <w:style w:type="paragraph" w:customStyle="1" w:styleId="1">
    <w:name w:val="Знак Знак1"/>
    <w:basedOn w:val="a"/>
    <w:uiPriority w:val="99"/>
    <w:rsid w:val="00475E5D"/>
    <w:pPr>
      <w:spacing w:after="0" w:line="240" w:lineRule="auto"/>
    </w:pPr>
    <w:rPr>
      <w:rFonts w:ascii="Verdana" w:hAnsi="Verdana" w:cs="Verdana"/>
      <w:sz w:val="28"/>
      <w:szCs w:val="28"/>
      <w:lang w:val="en-US"/>
    </w:rPr>
  </w:style>
  <w:style w:type="paragraph" w:customStyle="1" w:styleId="10">
    <w:name w:val="Абзац списка1"/>
    <w:basedOn w:val="a"/>
    <w:uiPriority w:val="99"/>
    <w:rsid w:val="003244B4"/>
    <w:pPr>
      <w:ind w:left="720"/>
    </w:pPr>
    <w:rPr>
      <w:rFonts w:eastAsia="Times New Roman"/>
    </w:rPr>
  </w:style>
  <w:style w:type="paragraph" w:customStyle="1" w:styleId="Standard">
    <w:name w:val="Standard"/>
    <w:uiPriority w:val="99"/>
    <w:rsid w:val="003244B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5256</Words>
  <Characters>2997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2019-12-24T09:57:00Z</cp:lastPrinted>
  <dcterms:created xsi:type="dcterms:W3CDTF">2018-02-12T11:41:00Z</dcterms:created>
  <dcterms:modified xsi:type="dcterms:W3CDTF">2019-12-24T09:58:00Z</dcterms:modified>
</cp:coreProperties>
</file>