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9" w:rsidRPr="00D14593" w:rsidRDefault="007F1579" w:rsidP="007F157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АДМІНІСТРАТИВНОЇ ПОСЛУГИ</w:t>
      </w:r>
    </w:p>
    <w:p w:rsidR="007F1579" w:rsidRPr="00D14593" w:rsidRDefault="007F1579" w:rsidP="007F15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F1579" w:rsidRPr="00D14593" w:rsidRDefault="007F1579" w:rsidP="007F1579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Присвоєння</w:t>
      </w:r>
      <w:r w:rsidRPr="00D14593">
        <w:rPr>
          <w:rFonts w:ascii="Times New Roman" w:eastAsia="Times New Roman" w:hAnsi="Times New Roman"/>
          <w:b/>
          <w:spacing w:val="-3"/>
          <w:sz w:val="28"/>
          <w:szCs w:val="28"/>
          <w:lang w:val="uk-UA" w:eastAsia="ru-RU"/>
        </w:rPr>
        <w:t xml:space="preserve"> поштової адреси об’єкту нерухомого майна</w:t>
      </w:r>
    </w:p>
    <w:p w:rsidR="007F1579" w:rsidRPr="009E6384" w:rsidRDefault="007F1579" w:rsidP="007F157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7F1579" w:rsidRPr="00D14593" w:rsidRDefault="007F1579" w:rsidP="007F15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410"/>
        <w:gridCol w:w="6773"/>
      </w:tblGrid>
      <w:tr w:rsidR="007F1579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без перерви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7F1579" w:rsidRPr="009E55F4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1.Заява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(рекомендований формуляр додається).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2.*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Виписка з Єдиного державного реєстру юридичних осіб, 3.фізичних осіб-підприємців та громадських формувань;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Паспорт та картка платника податків (ідентифікаційний код)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фізичної особи.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4.Технічний паспорт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об’єкта нерухомого майна.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5.Документ, що підтверджує прийняття об’єкта в експлуатацію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об’єктів).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6.Довідка (виписка) з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погосподарської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книги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Додатково: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Топографо-геодезичне знімання,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виготовлене сертифікованим спеціалістом та зареєстроване в Службі містобудівного кадастру та моніторингу (М 1:500, датоване роком звернення) (крім квартир в багатоквартирних будинках).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Правовстановлюючий документ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 об’єкт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нерухомого майна (для реконструйованих об’єктів).</w:t>
            </w:r>
          </w:p>
          <w:p w:rsidR="007F1579" w:rsidRPr="009E55F4" w:rsidRDefault="007F1579" w:rsidP="00AA3121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Правовстановлюючий документ на земельну ділянку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(за наявності).</w:t>
            </w:r>
          </w:p>
        </w:tc>
      </w:tr>
      <w:tr w:rsidR="007F1579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7F1579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про присвоєння поштової адреси</w:t>
            </w:r>
          </w:p>
        </w:tc>
      </w:tr>
      <w:tr w:rsidR="007F1579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30 днів </w:t>
            </w:r>
          </w:p>
        </w:tc>
      </w:tr>
      <w:tr w:rsidR="007F1579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tabs>
                <w:tab w:val="left" w:pos="372"/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7F1579" w:rsidRPr="009E55F4" w:rsidRDefault="007F1579" w:rsidP="007F1579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7F1579" w:rsidRPr="009E55F4" w:rsidRDefault="007F1579" w:rsidP="007F1579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Поштою.</w:t>
            </w:r>
          </w:p>
          <w:p w:rsidR="007F1579" w:rsidRPr="009E55F4" w:rsidRDefault="007F1579" w:rsidP="007F1579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Електронною поштою.</w:t>
            </w:r>
          </w:p>
        </w:tc>
      </w:tr>
      <w:tr w:rsidR="007F1579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579" w:rsidRPr="009E55F4" w:rsidRDefault="007F157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Акти законодавства щодо надання </w:t>
            </w: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lastRenderedPageBreak/>
              <w:t>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79" w:rsidRPr="009E55F4" w:rsidRDefault="007F1579" w:rsidP="007F1579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Закон України «Про місцеве самоврядування в Україні» (п. 4 ст. 26);</w:t>
            </w:r>
          </w:p>
          <w:p w:rsidR="007F1579" w:rsidRPr="009E55F4" w:rsidRDefault="007F1579" w:rsidP="007F1579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Постанова Кабінет Міністрів України від 25.05.2011 р. № 559 «Про містобудівний кадастр» (абзац 10 пункту 30).</w:t>
            </w:r>
          </w:p>
        </w:tc>
      </w:tr>
    </w:tbl>
    <w:p w:rsidR="0092199C" w:rsidRPr="007F1579" w:rsidRDefault="0092199C" w:rsidP="007F1579">
      <w:pPr>
        <w:rPr>
          <w:lang w:val="uk-UA"/>
        </w:rPr>
      </w:pPr>
      <w:bookmarkStart w:id="0" w:name="_GoBack"/>
      <w:bookmarkEnd w:id="0"/>
    </w:p>
    <w:sectPr w:rsidR="0092199C" w:rsidRPr="007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7F1579"/>
    <w:rsid w:val="008C4135"/>
    <w:rsid w:val="0092199C"/>
    <w:rsid w:val="00977F33"/>
    <w:rsid w:val="009A05CD"/>
    <w:rsid w:val="009B5DFA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2021-07-21T17:39:00Z</dcterms:created>
  <dcterms:modified xsi:type="dcterms:W3CDTF">2021-07-21T17:39:00Z</dcterms:modified>
</cp:coreProperties>
</file>