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0" w:rsidRPr="005833A4" w:rsidRDefault="00526470" w:rsidP="00526470">
      <w:pPr>
        <w:suppressAutoHyphens w:val="0"/>
        <w:jc w:val="center"/>
        <w:rPr>
          <w:color w:val="000000"/>
          <w:sz w:val="20"/>
          <w:szCs w:val="20"/>
          <w:lang w:val="uk-UA" w:eastAsia="ru-RU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 wp14:anchorId="0C9B09EE" wp14:editId="32D89C58">
            <wp:extent cx="3333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70" w:rsidRPr="005833A4" w:rsidRDefault="00526470" w:rsidP="00526470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</w:p>
    <w:p w:rsidR="00526470" w:rsidRPr="005833A4" w:rsidRDefault="00526470" w:rsidP="00526470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 w:eastAsia="ru-RU"/>
        </w:rPr>
      </w:pPr>
      <w:r w:rsidRPr="005833A4">
        <w:rPr>
          <w:b/>
          <w:sz w:val="28"/>
          <w:lang w:val="uk-UA" w:eastAsia="ru-RU"/>
        </w:rPr>
        <w:t>НОВОУШИЦЬКА СЕЛИЩНА РАДА</w:t>
      </w:r>
    </w:p>
    <w:p w:rsidR="00526470" w:rsidRPr="005833A4" w:rsidRDefault="00526470" w:rsidP="00526470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5833A4">
        <w:rPr>
          <w:b/>
          <w:lang w:val="uk-UA" w:eastAsia="ru-RU"/>
        </w:rPr>
        <w:t>ВИКОНАВЧИЙ КОМІТЕТ</w:t>
      </w:r>
    </w:p>
    <w:p w:rsidR="00526470" w:rsidRPr="005833A4" w:rsidRDefault="00526470" w:rsidP="00526470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526470" w:rsidRPr="005833A4" w:rsidRDefault="00526470" w:rsidP="0052647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lang w:val="uk-UA" w:eastAsia="ru-RU"/>
        </w:rPr>
      </w:pPr>
      <w:r w:rsidRPr="005833A4">
        <w:rPr>
          <w:b/>
          <w:bCs/>
          <w:sz w:val="28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"/>
        <w:gridCol w:w="1436"/>
        <w:gridCol w:w="479"/>
        <w:gridCol w:w="5168"/>
        <w:gridCol w:w="479"/>
        <w:gridCol w:w="1436"/>
        <w:gridCol w:w="287"/>
      </w:tblGrid>
      <w:tr w:rsidR="00526470" w:rsidRPr="005833A4" w:rsidTr="00C8787F">
        <w:trPr>
          <w:jc w:val="center"/>
        </w:trPr>
        <w:tc>
          <w:tcPr>
            <w:tcW w:w="150" w:type="pct"/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50" w:type="pct"/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  <w:r w:rsidRPr="005833A4">
              <w:rPr>
                <w:bCs/>
                <w:lang w:val="uk-UA" w:eastAsia="ru-RU"/>
              </w:rPr>
              <w:t xml:space="preserve">Нова </w:t>
            </w:r>
            <w:proofErr w:type="spellStart"/>
            <w:r w:rsidRPr="005833A4">
              <w:rPr>
                <w:bCs/>
                <w:lang w:val="uk-UA" w:eastAsia="ru-RU"/>
              </w:rPr>
              <w:t>Ушиця</w:t>
            </w:r>
            <w:proofErr w:type="spellEnd"/>
          </w:p>
        </w:tc>
        <w:tc>
          <w:tcPr>
            <w:tcW w:w="250" w:type="pct"/>
            <w:hideMark/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uk-UA" w:eastAsia="ru-RU"/>
              </w:rPr>
            </w:pPr>
            <w:r w:rsidRPr="005833A4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150" w:type="pct"/>
          </w:tcPr>
          <w:p w:rsidR="00526470" w:rsidRPr="005833A4" w:rsidRDefault="00526470" w:rsidP="00C8787F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val="uk-UA" w:eastAsia="ru-RU"/>
              </w:rPr>
            </w:pPr>
          </w:p>
        </w:tc>
      </w:tr>
    </w:tbl>
    <w:p w:rsidR="00526470" w:rsidRPr="00B4792E" w:rsidRDefault="00526470" w:rsidP="00526470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526470" w:rsidRPr="00B4792E" w:rsidTr="00C8787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526470" w:rsidRPr="00B4792E" w:rsidRDefault="00526470" w:rsidP="00C8787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B4792E">
              <w:rPr>
                <w:b/>
                <w:bCs/>
                <w:sz w:val="28"/>
                <w:szCs w:val="28"/>
                <w:lang w:val="uk-UA"/>
              </w:rPr>
              <w:t xml:space="preserve">Про звернення </w:t>
            </w:r>
          </w:p>
        </w:tc>
      </w:tr>
    </w:tbl>
    <w:p w:rsidR="00526470" w:rsidRPr="00B4792E" w:rsidRDefault="00526470" w:rsidP="005264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526470" w:rsidRPr="00B4792E" w:rsidRDefault="00526470" w:rsidP="005264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4792E">
        <w:rPr>
          <w:bCs/>
          <w:sz w:val="28"/>
          <w:szCs w:val="28"/>
          <w:lang w:val="uk-UA"/>
        </w:rPr>
        <w:t>Керуючись статтею 56 Цивільного кодексу України</w:t>
      </w:r>
      <w:r>
        <w:rPr>
          <w:bCs/>
          <w:sz w:val="28"/>
          <w:szCs w:val="28"/>
          <w:lang w:val="uk-UA"/>
        </w:rPr>
        <w:t>,</w:t>
      </w:r>
      <w:r w:rsidRPr="00B4792E">
        <w:rPr>
          <w:bCs/>
          <w:sz w:val="28"/>
          <w:szCs w:val="28"/>
          <w:lang w:val="uk-UA"/>
        </w:rPr>
        <w:t xml:space="preserve"> статтями  11, 34, 40, 51, 52, 53, 59 Закону України «Про міс</w:t>
      </w:r>
      <w:r>
        <w:rPr>
          <w:bCs/>
          <w:sz w:val="28"/>
          <w:szCs w:val="28"/>
          <w:lang w:val="uk-UA"/>
        </w:rPr>
        <w:t>цеве самоврядування в Україні»,</w:t>
      </w:r>
      <w:r w:rsidRPr="00B4792E">
        <w:rPr>
          <w:bCs/>
          <w:sz w:val="28"/>
          <w:szCs w:val="28"/>
          <w:lang w:val="uk-UA"/>
        </w:rPr>
        <w:t xml:space="preserve"> статтями 11, 33 Закону України «Про забезпечення організаційно-правових умов соціального захисту дітей-сиріт та дітей, позбавлених батьківського піклування»,  пунктом 26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№615 «Деякі питання забезпечення  дітей-сиріт та дітей, позбавлених батьківського піклування, осіб з їх числа житлом та підтримки малих групових будинків»,</w:t>
      </w:r>
      <w:r w:rsidRPr="00481176">
        <w:rPr>
          <w:bCs/>
          <w:sz w:val="28"/>
          <w:szCs w:val="28"/>
          <w:lang w:val="uk-UA"/>
        </w:rPr>
        <w:t xml:space="preserve"> </w:t>
      </w:r>
      <w:r w:rsidRPr="00B4792E">
        <w:rPr>
          <w:bCs/>
          <w:sz w:val="28"/>
          <w:szCs w:val="28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</w:t>
      </w:r>
      <w:r>
        <w:rPr>
          <w:bCs/>
          <w:sz w:val="28"/>
          <w:szCs w:val="28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«Про затвердження правил опіки та піклування»</w:t>
      </w:r>
      <w:r w:rsidRPr="00B4792E">
        <w:rPr>
          <w:bCs/>
          <w:sz w:val="28"/>
          <w:szCs w:val="28"/>
          <w:lang w:val="uk-UA"/>
        </w:rPr>
        <w:t>, виконавчий комітет селищної ради</w:t>
      </w:r>
    </w:p>
    <w:p w:rsidR="00526470" w:rsidRPr="00B4792E" w:rsidRDefault="00526470" w:rsidP="00526470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B4792E">
        <w:rPr>
          <w:b/>
          <w:sz w:val="28"/>
          <w:szCs w:val="28"/>
          <w:lang w:val="uk-UA"/>
        </w:rPr>
        <w:t>ВИРІШИВ:</w:t>
      </w:r>
    </w:p>
    <w:p w:rsidR="00526470" w:rsidRPr="00B4792E" w:rsidRDefault="00526470" w:rsidP="005264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4792E">
        <w:rPr>
          <w:sz w:val="28"/>
          <w:szCs w:val="28"/>
          <w:lang w:val="uk-UA"/>
        </w:rPr>
        <w:t>1.</w:t>
      </w:r>
      <w:r w:rsidRPr="00B4792E">
        <w:rPr>
          <w:b/>
          <w:sz w:val="28"/>
          <w:szCs w:val="28"/>
          <w:lang w:val="uk-UA"/>
        </w:rPr>
        <w:t xml:space="preserve"> </w:t>
      </w:r>
      <w:r w:rsidRPr="00B4792E">
        <w:rPr>
          <w:bCs/>
          <w:sz w:val="28"/>
          <w:szCs w:val="28"/>
          <w:lang w:val="uk-UA"/>
        </w:rPr>
        <w:t>Доручити селищному голові Новоушицької селищної ради Анатолію ОЛІЙНИКУ звернутися до нотаріусів, що посвідчують договір купівлі-продажу нерухомого майна, що придбавається особами з числа дітей-сиріт та дітей, позбавлених батьківського піклування:</w:t>
      </w:r>
    </w:p>
    <w:p w:rsidR="00526470" w:rsidRPr="00B4792E" w:rsidRDefault="00526470" w:rsidP="00526470">
      <w:pPr>
        <w:ind w:firstLine="708"/>
        <w:jc w:val="both"/>
        <w:rPr>
          <w:rFonts w:eastAsia="DejaVu Sans" w:cs="FreeSans"/>
          <w:b/>
          <w:kern w:val="1"/>
          <w:sz w:val="28"/>
          <w:szCs w:val="28"/>
          <w:lang w:val="uk-UA" w:eastAsia="zh-CN" w:bidi="hi-IN"/>
        </w:rPr>
      </w:pPr>
      <w:r w:rsidRPr="00B4792E">
        <w:rPr>
          <w:b/>
          <w:i/>
          <w:color w:val="000000"/>
          <w:sz w:val="28"/>
          <w:szCs w:val="28"/>
          <w:lang w:val="uk-UA"/>
        </w:rPr>
        <w:t xml:space="preserve">Соловей (після одруження </w:t>
      </w:r>
      <w:proofErr w:type="spellStart"/>
      <w:r w:rsidRPr="00B4792E">
        <w:rPr>
          <w:b/>
          <w:i/>
          <w:color w:val="000000"/>
          <w:sz w:val="28"/>
          <w:szCs w:val="28"/>
          <w:lang w:val="uk-UA"/>
        </w:rPr>
        <w:t>Янківською</w:t>
      </w:r>
      <w:proofErr w:type="spellEnd"/>
      <w:r w:rsidRPr="00B4792E">
        <w:rPr>
          <w:b/>
          <w:color w:val="000000"/>
          <w:sz w:val="28"/>
          <w:szCs w:val="28"/>
          <w:lang w:val="uk-UA"/>
        </w:rPr>
        <w:t xml:space="preserve">)  </w:t>
      </w:r>
      <w:r w:rsidRPr="00B4792E">
        <w:rPr>
          <w:b/>
          <w:i/>
          <w:color w:val="000000"/>
          <w:sz w:val="28"/>
          <w:szCs w:val="28"/>
          <w:lang w:val="uk-UA"/>
        </w:rPr>
        <w:t xml:space="preserve">Мар’яною Вікторівною, 04 серпня 1998 року народження, </w:t>
      </w:r>
      <w:proofErr w:type="spellStart"/>
      <w:r w:rsidRPr="00B4792E">
        <w:rPr>
          <w:b/>
          <w:i/>
          <w:color w:val="000000"/>
          <w:sz w:val="28"/>
          <w:szCs w:val="28"/>
          <w:lang w:val="uk-UA"/>
        </w:rPr>
        <w:t>Ступніковою</w:t>
      </w:r>
      <w:proofErr w:type="spellEnd"/>
      <w:r w:rsidRPr="00B4792E">
        <w:rPr>
          <w:b/>
          <w:i/>
          <w:color w:val="000000"/>
          <w:sz w:val="28"/>
          <w:szCs w:val="28"/>
          <w:lang w:val="uk-UA"/>
        </w:rPr>
        <w:t xml:space="preserve"> Іло</w:t>
      </w:r>
      <w:r>
        <w:rPr>
          <w:b/>
          <w:i/>
          <w:color w:val="000000"/>
          <w:sz w:val="28"/>
          <w:szCs w:val="28"/>
          <w:lang w:val="uk-UA"/>
        </w:rPr>
        <w:t>ною Володимирівною, 04 березня</w:t>
      </w:r>
      <w:r w:rsidRPr="00B4792E">
        <w:rPr>
          <w:b/>
          <w:i/>
          <w:color w:val="000000"/>
          <w:sz w:val="28"/>
          <w:szCs w:val="28"/>
          <w:lang w:val="uk-UA"/>
        </w:rPr>
        <w:t xml:space="preserve">1999 року народження, Савчук Валентиною Василівною, 09 серпня 1998 року народження, </w:t>
      </w:r>
      <w:proofErr w:type="spellStart"/>
      <w:r w:rsidRPr="00B4792E">
        <w:rPr>
          <w:b/>
          <w:i/>
          <w:color w:val="000000"/>
          <w:sz w:val="28"/>
          <w:szCs w:val="28"/>
          <w:lang w:val="uk-UA"/>
        </w:rPr>
        <w:t>Сікорою</w:t>
      </w:r>
      <w:proofErr w:type="spellEnd"/>
      <w:r w:rsidRPr="00B4792E">
        <w:rPr>
          <w:b/>
          <w:i/>
          <w:color w:val="000000"/>
          <w:sz w:val="28"/>
          <w:szCs w:val="28"/>
          <w:lang w:val="uk-UA"/>
        </w:rPr>
        <w:t xml:space="preserve"> Лізою Павлівною, 28 березня 1999 року народження, </w:t>
      </w:r>
      <w:proofErr w:type="spellStart"/>
      <w:r w:rsidRPr="00B4792E">
        <w:rPr>
          <w:b/>
          <w:i/>
          <w:color w:val="000000"/>
          <w:sz w:val="28"/>
          <w:szCs w:val="28"/>
          <w:lang w:val="uk-UA"/>
        </w:rPr>
        <w:t>Янчевською</w:t>
      </w:r>
      <w:proofErr w:type="spellEnd"/>
      <w:r w:rsidRPr="00B4792E">
        <w:rPr>
          <w:b/>
          <w:i/>
          <w:color w:val="000000"/>
          <w:sz w:val="28"/>
          <w:szCs w:val="28"/>
          <w:lang w:val="uk-UA"/>
        </w:rPr>
        <w:t xml:space="preserve"> Вікторією Володимирівною, 19 лютого 1999 року народження, </w:t>
      </w:r>
      <w:proofErr w:type="spellStart"/>
      <w:r w:rsidRPr="00B4792E">
        <w:rPr>
          <w:b/>
          <w:i/>
          <w:color w:val="000000"/>
          <w:sz w:val="28"/>
          <w:szCs w:val="28"/>
          <w:lang w:val="uk-UA"/>
        </w:rPr>
        <w:t>Шевцовою</w:t>
      </w:r>
      <w:proofErr w:type="spellEnd"/>
      <w:r w:rsidRPr="00B4792E">
        <w:rPr>
          <w:b/>
          <w:i/>
          <w:color w:val="000000"/>
          <w:sz w:val="28"/>
          <w:szCs w:val="28"/>
          <w:lang w:val="uk-UA"/>
        </w:rPr>
        <w:t xml:space="preserve"> Алісою Володимирівною, 05 червня 1999 року народження -</w:t>
      </w:r>
    </w:p>
    <w:p w:rsidR="00526470" w:rsidRPr="00B4792E" w:rsidRDefault="00526470" w:rsidP="005264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4792E">
        <w:rPr>
          <w:bCs/>
          <w:sz w:val="28"/>
          <w:szCs w:val="28"/>
          <w:lang w:val="uk-UA"/>
        </w:rPr>
        <w:t>за рахунок грошової компенсації субвенції з державного бюджету місцевим бюджетам  із забороною на відчуження такого нерухомого майна протягом десяти років.</w:t>
      </w:r>
    </w:p>
    <w:p w:rsidR="00526470" w:rsidRPr="00B4792E" w:rsidRDefault="00526470" w:rsidP="00526470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B4792E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260A43" w:rsidRDefault="00260A43">
      <w:bookmarkStart w:id="0" w:name="_GoBack"/>
      <w:bookmarkEnd w:id="0"/>
    </w:p>
    <w:sectPr w:rsidR="0026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0"/>
    <w:rsid w:val="00260A43"/>
    <w:rsid w:val="00526470"/>
    <w:rsid w:val="00D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2021-12-07T07:51:00Z</dcterms:created>
  <dcterms:modified xsi:type="dcterms:W3CDTF">2021-12-07T07:52:00Z</dcterms:modified>
</cp:coreProperties>
</file>