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C" w:rsidRPr="00176E5C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6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6E5C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34D1" w:rsidRDefault="00AA34D1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34D1" w:rsidRPr="00DD3FA2" w:rsidRDefault="00AA34D1" w:rsidP="00DD3F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FA2">
        <w:rPr>
          <w:rFonts w:ascii="Times New Roman" w:hAnsi="Times New Roman" w:cs="Times New Roman"/>
          <w:b/>
          <w:bCs/>
          <w:noProof/>
          <w:sz w:val="24"/>
          <w:szCs w:val="24"/>
          <w:lang w:val="uk-UA" w:eastAsia="uk-UA"/>
        </w:rPr>
        <w:drawing>
          <wp:inline distT="0" distB="0" distL="0" distR="0" wp14:anchorId="220CDE18" wp14:editId="62B0F9AF">
            <wp:extent cx="648335" cy="818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D1" w:rsidRPr="00DD3FA2" w:rsidRDefault="00AA34D1" w:rsidP="00DD3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A2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AA34D1" w:rsidRPr="00DD3FA2" w:rsidRDefault="00AA34D1" w:rsidP="00DD3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A2">
        <w:rPr>
          <w:rFonts w:ascii="Times New Roman" w:hAnsi="Times New Roman" w:cs="Times New Roman"/>
          <w:b/>
          <w:sz w:val="24"/>
          <w:szCs w:val="24"/>
        </w:rPr>
        <w:t>НОВОУШИЦЬКА СЕЛИЩНА РАДА</w:t>
      </w:r>
    </w:p>
    <w:p w:rsidR="00AA34D1" w:rsidRPr="00DD3FA2" w:rsidRDefault="00AA34D1" w:rsidP="00DD3FA2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FA2">
        <w:rPr>
          <w:rFonts w:ascii="Times New Roman" w:hAnsi="Times New Roman" w:cs="Times New Roman"/>
          <w:b/>
          <w:sz w:val="24"/>
          <w:szCs w:val="24"/>
        </w:rPr>
        <w:t>НОВОУШИЦЬКОЇ СЕЛИЩНОЇ ОБ’ЄДНАНОЇ  ТЕРИТОРІАЛЬНОЇ ГРОМАДИ</w:t>
      </w:r>
    </w:p>
    <w:p w:rsidR="00AA34D1" w:rsidRPr="00DD3FA2" w:rsidRDefault="00DD3FA2" w:rsidP="00DD3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A34D1" w:rsidRPr="00DD3FA2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="00AA34D1" w:rsidRPr="00DD3FA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AA34D1" w:rsidRPr="00DD3FA2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AA34D1" w:rsidRPr="00DD3FA2" w:rsidRDefault="00DD3FA2" w:rsidP="00DD3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позачергової</w:t>
      </w:r>
      <w:r w:rsidR="00AA34D1" w:rsidRPr="00DD3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4D1" w:rsidRPr="00DD3FA2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="00AA34D1" w:rsidRPr="00DD3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4D1" w:rsidRPr="00DD3FA2">
        <w:rPr>
          <w:rFonts w:ascii="Times New Roman" w:hAnsi="Times New Roman" w:cs="Times New Roman"/>
          <w:b/>
          <w:sz w:val="24"/>
          <w:szCs w:val="24"/>
        </w:rPr>
        <w:t>селищної</w:t>
      </w:r>
      <w:proofErr w:type="spellEnd"/>
      <w:r w:rsidR="00AA34D1" w:rsidRPr="00DD3FA2">
        <w:rPr>
          <w:rFonts w:ascii="Times New Roman" w:hAnsi="Times New Roman" w:cs="Times New Roman"/>
          <w:b/>
          <w:sz w:val="24"/>
          <w:szCs w:val="24"/>
        </w:rPr>
        <w:t xml:space="preserve"> ради VІІ </w:t>
      </w:r>
      <w:proofErr w:type="spellStart"/>
      <w:r w:rsidR="00AA34D1" w:rsidRPr="00DD3FA2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AA34D1" w:rsidRPr="00DD3FA2" w:rsidRDefault="00DD3FA2" w:rsidP="00DD3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A34D1" w:rsidRPr="00DD3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34D1" w:rsidRPr="00DD3FA2">
        <w:rPr>
          <w:rFonts w:ascii="Times New Roman" w:hAnsi="Times New Roman" w:cs="Times New Roman"/>
          <w:b/>
          <w:sz w:val="24"/>
          <w:szCs w:val="24"/>
        </w:rPr>
        <w:t>лютого</w:t>
      </w:r>
      <w:proofErr w:type="gramEnd"/>
      <w:r w:rsidR="00AA34D1" w:rsidRPr="00DD3FA2">
        <w:rPr>
          <w:rFonts w:ascii="Times New Roman" w:hAnsi="Times New Roman" w:cs="Times New Roman"/>
          <w:b/>
          <w:sz w:val="24"/>
          <w:szCs w:val="24"/>
        </w:rPr>
        <w:t xml:space="preserve"> 2019 року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:rsidR="00AA34D1" w:rsidRPr="00DD3FA2" w:rsidRDefault="00AA34D1" w:rsidP="00DD3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FA2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Pr="00DD3FA2">
        <w:rPr>
          <w:rFonts w:ascii="Times New Roman" w:hAnsi="Times New Roman" w:cs="Times New Roman"/>
          <w:b/>
          <w:sz w:val="24"/>
          <w:szCs w:val="24"/>
        </w:rPr>
        <w:t xml:space="preserve">. Нова </w:t>
      </w:r>
      <w:proofErr w:type="spellStart"/>
      <w:r w:rsidRPr="00DD3FA2">
        <w:rPr>
          <w:rFonts w:ascii="Times New Roman" w:hAnsi="Times New Roman" w:cs="Times New Roman"/>
          <w:b/>
          <w:sz w:val="24"/>
          <w:szCs w:val="24"/>
        </w:rPr>
        <w:t>Ушиця</w:t>
      </w:r>
      <w:proofErr w:type="spellEnd"/>
    </w:p>
    <w:p w:rsidR="00DD3FA2" w:rsidRDefault="00DD3FA2" w:rsidP="00DD3F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4D1" w:rsidRPr="00DD3FA2" w:rsidRDefault="00AA34D1" w:rsidP="00DD3F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Звіт директора Новоушицького територіального центру соціального </w:t>
      </w:r>
    </w:p>
    <w:p w:rsidR="00AA34D1" w:rsidRPr="00DD3FA2" w:rsidRDefault="00AA34D1" w:rsidP="00DD3F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b/>
          <w:sz w:val="24"/>
          <w:szCs w:val="24"/>
          <w:lang w:val="uk-UA"/>
        </w:rPr>
        <w:t>обслуговування (на</w:t>
      </w:r>
      <w:r w:rsidR="00DD3FA2">
        <w:rPr>
          <w:rFonts w:ascii="Times New Roman" w:hAnsi="Times New Roman" w:cs="Times New Roman"/>
          <w:b/>
          <w:sz w:val="24"/>
          <w:szCs w:val="24"/>
          <w:lang w:val="uk-UA"/>
        </w:rPr>
        <w:t>дання соціальних послуг) за 2019</w:t>
      </w:r>
      <w:r w:rsidRPr="00DD3F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</w:t>
      </w:r>
    </w:p>
    <w:p w:rsidR="00AA34D1" w:rsidRPr="00DD3FA2" w:rsidRDefault="00AA34D1" w:rsidP="00AA34D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4D1" w:rsidRPr="00DD3FA2" w:rsidRDefault="00DD3FA2" w:rsidP="00AA34D1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A34D1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та обговоривши  звіт директора Новоушицького територіального центру соціального обслуговування (надання соціальних послуг)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2019 рік </w:t>
      </w:r>
      <w:r w:rsidR="00AA34D1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Ковбасюка Д.В. та керуючись </w:t>
      </w:r>
      <w:r w:rsidR="00AA34D1" w:rsidRPr="00DD3F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Законом України </w:t>
      </w:r>
      <w:r w:rsidR="00AA34D1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 </w:t>
      </w:r>
      <w:r w:rsidR="00AA34D1" w:rsidRPr="00DD3F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селищна рада </w:t>
      </w:r>
    </w:p>
    <w:p w:rsidR="00AA34D1" w:rsidRPr="00DD3FA2" w:rsidRDefault="00AA34D1" w:rsidP="00AA34D1">
      <w:pPr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A34D1" w:rsidRPr="00DD3FA2" w:rsidRDefault="00AA34D1" w:rsidP="00AA34D1">
      <w:pPr>
        <w:ind w:right="60" w:hanging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A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DD3FA2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AA34D1" w:rsidRPr="00DD3FA2" w:rsidRDefault="00AA34D1" w:rsidP="00AA34D1">
      <w:pPr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4D1" w:rsidRPr="00DD3FA2" w:rsidRDefault="00AA34D1" w:rsidP="00DD3F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sz w:val="24"/>
          <w:szCs w:val="24"/>
        </w:rPr>
        <w:t xml:space="preserve">           1. 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Новоушицького територіального центру </w:t>
      </w:r>
      <w:proofErr w:type="gramStart"/>
      <w:r w:rsidRPr="00DD3FA2"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gramEnd"/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іального </w:t>
      </w:r>
    </w:p>
    <w:p w:rsidR="00AA34D1" w:rsidRPr="00DD3FA2" w:rsidRDefault="00AA34D1" w:rsidP="00DD3F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sz w:val="24"/>
          <w:szCs w:val="24"/>
          <w:lang w:val="uk-UA"/>
        </w:rPr>
        <w:t>обслуговування (надання соціальни</w:t>
      </w:r>
      <w:r w:rsidR="00DD3FA2">
        <w:rPr>
          <w:rFonts w:ascii="Times New Roman" w:hAnsi="Times New Roman" w:cs="Times New Roman"/>
          <w:sz w:val="24"/>
          <w:szCs w:val="24"/>
          <w:lang w:val="uk-UA"/>
        </w:rPr>
        <w:t>х послуг) Ковбасюка Д.В. за 2019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рік затвердити. Додається.</w:t>
      </w:r>
    </w:p>
    <w:p w:rsidR="008B569D" w:rsidRPr="00DD3FA2" w:rsidRDefault="00DD3FA2" w:rsidP="008B569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="008B5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2.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B569D">
        <w:rPr>
          <w:rFonts w:ascii="Times New Roman" w:hAnsi="Times New Roman" w:cs="Times New Roman"/>
          <w:sz w:val="24"/>
          <w:szCs w:val="24"/>
          <w:lang w:val="uk-UA"/>
        </w:rPr>
        <w:t>Директору</w:t>
      </w:r>
      <w:r w:rsidR="008B569D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Новоушицького територіального центру соціального </w:t>
      </w:r>
    </w:p>
    <w:p w:rsidR="00DD3FA2" w:rsidRDefault="008B569D" w:rsidP="008B569D">
      <w:pPr>
        <w:ind w:right="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sz w:val="24"/>
          <w:szCs w:val="24"/>
          <w:lang w:val="uk-UA"/>
        </w:rPr>
        <w:t>обслуговування (надання соціальни</w:t>
      </w:r>
      <w:r>
        <w:rPr>
          <w:rFonts w:ascii="Times New Roman" w:hAnsi="Times New Roman" w:cs="Times New Roman"/>
          <w:sz w:val="24"/>
          <w:szCs w:val="24"/>
          <w:lang w:val="uk-UA"/>
        </w:rPr>
        <w:t>х послуг) Ковбасюку Д.В:</w:t>
      </w:r>
    </w:p>
    <w:p w:rsidR="008B569D" w:rsidRPr="008B569D" w:rsidRDefault="008B569D" w:rsidP="008B569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8B569D">
        <w:rPr>
          <w:lang w:val="uk-UA"/>
        </w:rPr>
        <w:t xml:space="preserve">      2.1.З</w:t>
      </w:r>
      <w:proofErr w:type="spellStart"/>
      <w:r w:rsidRPr="008B569D">
        <w:t>абезпечення</w:t>
      </w:r>
      <w:proofErr w:type="spellEnd"/>
      <w:r w:rsidRPr="008B569D">
        <w:t xml:space="preserve"> на </w:t>
      </w:r>
      <w:proofErr w:type="spellStart"/>
      <w:r w:rsidRPr="008B569D">
        <w:t>території</w:t>
      </w:r>
      <w:proofErr w:type="spellEnd"/>
      <w:r w:rsidRPr="008B569D">
        <w:t xml:space="preserve"> </w:t>
      </w:r>
      <w:r w:rsidRPr="008B569D">
        <w:rPr>
          <w:lang w:val="uk-UA"/>
        </w:rPr>
        <w:t>громади та району</w:t>
      </w:r>
      <w:r w:rsidRPr="008B569D">
        <w:t xml:space="preserve"> </w:t>
      </w:r>
      <w:proofErr w:type="spellStart"/>
      <w:r w:rsidRPr="008B569D">
        <w:t>реалізації</w:t>
      </w:r>
      <w:proofErr w:type="spellEnd"/>
      <w:r w:rsidRPr="008B569D">
        <w:t xml:space="preserve"> </w:t>
      </w:r>
      <w:proofErr w:type="spellStart"/>
      <w:r w:rsidRPr="008B569D">
        <w:t>державної</w:t>
      </w:r>
      <w:proofErr w:type="spellEnd"/>
      <w:r w:rsidRPr="008B569D">
        <w:t xml:space="preserve"> </w:t>
      </w:r>
      <w:proofErr w:type="spellStart"/>
      <w:r w:rsidRPr="008B569D">
        <w:t>політики</w:t>
      </w:r>
      <w:proofErr w:type="spellEnd"/>
      <w:r w:rsidRPr="008B569D">
        <w:t xml:space="preserve"> у </w:t>
      </w:r>
      <w:proofErr w:type="spellStart"/>
      <w:r w:rsidRPr="008B569D">
        <w:t>сфері</w:t>
      </w:r>
      <w:proofErr w:type="spellEnd"/>
      <w:r w:rsidRPr="008B569D">
        <w:t xml:space="preserve"> </w:t>
      </w:r>
      <w:r w:rsidRPr="008B569D">
        <w:rPr>
          <w:lang w:val="uk-UA"/>
        </w:rPr>
        <w:t>соціального захисту;</w:t>
      </w:r>
    </w:p>
    <w:p w:rsidR="008B569D" w:rsidRPr="008B569D" w:rsidRDefault="008B569D" w:rsidP="008B569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8B569D">
        <w:t> </w:t>
      </w:r>
    </w:p>
    <w:p w:rsidR="008B569D" w:rsidRPr="008B569D" w:rsidRDefault="008B569D" w:rsidP="008B569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8B569D">
        <w:rPr>
          <w:lang w:val="uk-UA"/>
        </w:rPr>
        <w:t xml:space="preserve">      2.2.Забезпечити з</w:t>
      </w:r>
      <w:proofErr w:type="spellStart"/>
      <w:r w:rsidRPr="008B569D">
        <w:t>дійснення</w:t>
      </w:r>
      <w:proofErr w:type="spellEnd"/>
      <w:r w:rsidRPr="008B569D">
        <w:t xml:space="preserve"> в межах </w:t>
      </w:r>
      <w:proofErr w:type="spellStart"/>
      <w:r w:rsidRPr="008B569D">
        <w:t>повноважень</w:t>
      </w:r>
      <w:proofErr w:type="spellEnd"/>
      <w:r w:rsidRPr="008B569D">
        <w:t xml:space="preserve"> контролю за </w:t>
      </w:r>
      <w:proofErr w:type="spellStart"/>
      <w:r w:rsidRPr="008B569D">
        <w:t>дотриманням</w:t>
      </w:r>
      <w:proofErr w:type="spellEnd"/>
      <w:r w:rsidRPr="008B569D">
        <w:t xml:space="preserve"> </w:t>
      </w:r>
      <w:r w:rsidRPr="008B569D">
        <w:rPr>
          <w:lang w:val="uk-UA"/>
        </w:rPr>
        <w:t>вимог законодавства у сфері соціального захисту;</w:t>
      </w:r>
    </w:p>
    <w:p w:rsidR="008B569D" w:rsidRPr="008B569D" w:rsidRDefault="008B569D" w:rsidP="008B569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8B569D" w:rsidRPr="008B569D" w:rsidRDefault="008B569D" w:rsidP="008B569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8B569D">
        <w:rPr>
          <w:lang w:val="uk-UA"/>
        </w:rPr>
        <w:t xml:space="preserve">      2.3.Проводити роботу з розширення території обслуговування, кількості послуг  шляхом  максимального охоплення населення району та залучення жителів сіл прилеглих до Новоушицького району;</w:t>
      </w:r>
    </w:p>
    <w:p w:rsidR="008B569D" w:rsidRPr="008B569D" w:rsidRDefault="008B569D" w:rsidP="008B569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8B569D" w:rsidRDefault="008B569D" w:rsidP="008B569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8B569D">
        <w:rPr>
          <w:lang w:val="uk-UA"/>
        </w:rPr>
        <w:t xml:space="preserve">     2.4.Звернути особливу увагу щодо </w:t>
      </w:r>
      <w:proofErr w:type="spellStart"/>
      <w:r w:rsidRPr="008B569D">
        <w:t>учасників</w:t>
      </w:r>
      <w:proofErr w:type="spellEnd"/>
      <w:r w:rsidRPr="008B569D">
        <w:t xml:space="preserve"> </w:t>
      </w:r>
      <w:r w:rsidRPr="008B569D">
        <w:rPr>
          <w:lang w:val="uk-UA"/>
        </w:rPr>
        <w:t>ООС(</w:t>
      </w:r>
      <w:r w:rsidRPr="008B569D">
        <w:t>АТО</w:t>
      </w:r>
      <w:r w:rsidRPr="008B569D">
        <w:rPr>
          <w:lang w:val="uk-UA"/>
        </w:rPr>
        <w:t>)</w:t>
      </w:r>
      <w:r w:rsidRPr="008B569D">
        <w:t xml:space="preserve"> ;</w:t>
      </w:r>
    </w:p>
    <w:p w:rsidR="008B569D" w:rsidRPr="008B569D" w:rsidRDefault="008B569D" w:rsidP="008B569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8B569D" w:rsidRDefault="008B569D" w:rsidP="008B569D">
      <w:pPr>
        <w:spacing w:after="0" w:line="240" w:lineRule="auto"/>
        <w:ind w:right="51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Pr="008B569D">
        <w:rPr>
          <w:sz w:val="24"/>
          <w:szCs w:val="24"/>
          <w:lang w:val="uk-UA"/>
        </w:rPr>
        <w:t xml:space="preserve"> </w:t>
      </w:r>
      <w:r w:rsidRPr="008B569D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загального відділу  Новоушицької селищної ради  Грековій Т.А. дане рішення  оприлюднити на </w:t>
      </w:r>
      <w:proofErr w:type="spellStart"/>
      <w:r w:rsidRPr="008B569D">
        <w:rPr>
          <w:rFonts w:ascii="Times New Roman" w:hAnsi="Times New Roman" w:cs="Times New Roman"/>
          <w:sz w:val="24"/>
          <w:szCs w:val="24"/>
          <w:lang w:val="uk-UA"/>
        </w:rPr>
        <w:t>веб</w:t>
      </w:r>
      <w:proofErr w:type="spellEnd"/>
      <w:r w:rsidRPr="008B569D">
        <w:rPr>
          <w:rFonts w:ascii="Times New Roman" w:hAnsi="Times New Roman" w:cs="Times New Roman"/>
          <w:sz w:val="24"/>
          <w:szCs w:val="24"/>
          <w:lang w:val="uk-UA"/>
        </w:rPr>
        <w:t xml:space="preserve"> - сайті  Новоушицької селищної ради</w:t>
      </w:r>
      <w:r w:rsidRPr="008B569D">
        <w:rPr>
          <w:sz w:val="24"/>
          <w:szCs w:val="24"/>
          <w:lang w:val="uk-UA"/>
        </w:rPr>
        <w:t xml:space="preserve">  </w:t>
      </w:r>
    </w:p>
    <w:p w:rsidR="008B569D" w:rsidRDefault="008B569D" w:rsidP="008B569D">
      <w:pPr>
        <w:spacing w:after="0" w:line="240" w:lineRule="auto"/>
        <w:ind w:right="51"/>
        <w:jc w:val="both"/>
        <w:rPr>
          <w:color w:val="000000"/>
          <w:sz w:val="24"/>
          <w:szCs w:val="24"/>
          <w:lang w:val="uk-UA"/>
        </w:rPr>
      </w:pPr>
    </w:p>
    <w:p w:rsidR="00AA34D1" w:rsidRPr="008B569D" w:rsidRDefault="00AA34D1" w:rsidP="008B569D">
      <w:pPr>
        <w:spacing w:after="0" w:line="240" w:lineRule="auto"/>
        <w:ind w:right="51"/>
        <w:jc w:val="both"/>
        <w:rPr>
          <w:color w:val="000000"/>
          <w:sz w:val="24"/>
          <w:szCs w:val="24"/>
          <w:lang w:val="uk-UA"/>
        </w:rPr>
      </w:pPr>
      <w:r w:rsidRPr="008B5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D3FA2">
        <w:rPr>
          <w:rFonts w:ascii="Times New Roman" w:hAnsi="Times New Roman" w:cs="Times New Roman"/>
          <w:b/>
          <w:bCs/>
          <w:sz w:val="24"/>
          <w:szCs w:val="24"/>
        </w:rPr>
        <w:t>Селищний</w:t>
      </w:r>
      <w:proofErr w:type="spellEnd"/>
      <w:r w:rsidRPr="00DD3FA2">
        <w:rPr>
          <w:rFonts w:ascii="Times New Roman" w:hAnsi="Times New Roman" w:cs="Times New Roman"/>
          <w:b/>
          <w:bCs/>
          <w:sz w:val="24"/>
          <w:szCs w:val="24"/>
        </w:rPr>
        <w:t xml:space="preserve"> голова                                                       </w:t>
      </w:r>
      <w:proofErr w:type="spellStart"/>
      <w:r w:rsidRPr="00DD3FA2">
        <w:rPr>
          <w:rFonts w:ascii="Times New Roman" w:hAnsi="Times New Roman" w:cs="Times New Roman"/>
          <w:b/>
          <w:bCs/>
          <w:sz w:val="24"/>
          <w:szCs w:val="24"/>
        </w:rPr>
        <w:t>О.Московчук</w:t>
      </w:r>
      <w:proofErr w:type="spellEnd"/>
    </w:p>
    <w:p w:rsidR="00DD3FA2" w:rsidRDefault="00DD3FA2" w:rsidP="00176E5C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3FA2" w:rsidRPr="00DD3FA2" w:rsidRDefault="00DD3FA2" w:rsidP="00176E5C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6E5C" w:rsidRPr="00DD3FA2" w:rsidRDefault="00176E5C" w:rsidP="00176E5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:rsidR="007C22CA" w:rsidRPr="00DD3FA2" w:rsidRDefault="00176E5C" w:rsidP="00176E5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директора Новоушицького територіального центру соціального обслуговування </w:t>
      </w:r>
    </w:p>
    <w:p w:rsidR="00176E5C" w:rsidRPr="00DD3FA2" w:rsidRDefault="00176E5C" w:rsidP="00176E5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(надання соціальних послуг) про </w:t>
      </w:r>
      <w:r w:rsidR="007C22CA" w:rsidRPr="00DD3FA2">
        <w:rPr>
          <w:rFonts w:ascii="Times New Roman" w:hAnsi="Times New Roman" w:cs="Times New Roman"/>
          <w:b/>
          <w:sz w:val="24"/>
          <w:szCs w:val="24"/>
          <w:lang w:val="uk-UA"/>
        </w:rPr>
        <w:t>фінансово-господарську діяльність</w:t>
      </w:r>
      <w:r w:rsidRPr="00DD3F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</w:t>
      </w:r>
      <w:r w:rsidRPr="00DD3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FA2">
        <w:rPr>
          <w:rFonts w:ascii="Times New Roman" w:hAnsi="Times New Roman" w:cs="Times New Roman"/>
          <w:b/>
          <w:sz w:val="24"/>
          <w:szCs w:val="24"/>
          <w:lang w:val="uk-UA"/>
        </w:rPr>
        <w:t>2019 р</w:t>
      </w:r>
      <w:r w:rsidR="00407E0A" w:rsidRPr="00DD3FA2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D3FA2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</w:p>
    <w:p w:rsidR="00176E5C" w:rsidRPr="00DD3FA2" w:rsidRDefault="00176E5C" w:rsidP="00176E5C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22CA" w:rsidRPr="00DD3FA2" w:rsidRDefault="007C22CA" w:rsidP="007C22C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3FA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бюджетної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установина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2019р.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9088,0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звітний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касові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9088 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.</w:t>
      </w:r>
    </w:p>
    <w:p w:rsidR="007C22CA" w:rsidRPr="00DD3FA2" w:rsidRDefault="007C22CA" w:rsidP="007C22CA">
      <w:pPr>
        <w:tabs>
          <w:tab w:val="left" w:pos="2730"/>
        </w:tabs>
        <w:spacing w:after="0" w:line="36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FA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першочерговому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порядку, в межах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, проводилось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„Про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бюджет на 2018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”, як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пріоритетні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:</w:t>
      </w:r>
    </w:p>
    <w:p w:rsidR="007C22CA" w:rsidRPr="00DD3FA2" w:rsidRDefault="007C22CA" w:rsidP="007C22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D3FA2">
        <w:rPr>
          <w:rFonts w:ascii="Times New Roman" w:hAnsi="Times New Roman" w:cs="Times New Roman"/>
          <w:sz w:val="24"/>
          <w:szCs w:val="24"/>
          <w:u w:val="single"/>
          <w:lang w:val="uk-UA"/>
        </w:rPr>
        <w:t>оплата праці з нарахуваннями :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спрямовано видатків на суму 8458,2тис. гривень,з яких  стимулюючі виплати для забезпечення диференціації зарплати кваліфікованих працівників становлять 656,3тис. грн. інші надбавки 301,8тис.грн. ( допомога на оздоровлення та індексація)</w:t>
      </w:r>
      <w:proofErr w:type="spellStart"/>
      <w:r w:rsidRPr="00DD3FA2">
        <w:rPr>
          <w:rFonts w:ascii="Times New Roman" w:hAnsi="Times New Roman" w:cs="Times New Roman"/>
          <w:sz w:val="24"/>
          <w:szCs w:val="24"/>
          <w:lang w:val="uk-UA"/>
        </w:rPr>
        <w:t>.надбавки</w:t>
      </w:r>
      <w:proofErr w:type="spellEnd"/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за вислугу років-371,1тис. грн. премії-1526,9тис. грн. доплата до </w:t>
      </w:r>
      <w:proofErr w:type="spellStart"/>
      <w:r w:rsidRPr="00DD3FA2">
        <w:rPr>
          <w:rFonts w:ascii="Times New Roman" w:hAnsi="Times New Roman" w:cs="Times New Roman"/>
          <w:sz w:val="24"/>
          <w:szCs w:val="24"/>
          <w:lang w:val="uk-UA"/>
        </w:rPr>
        <w:t>мінімалки</w:t>
      </w:r>
      <w:proofErr w:type="spellEnd"/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261,7 або 93% загальної суми видатків;</w:t>
      </w:r>
    </w:p>
    <w:p w:rsidR="007C22CA" w:rsidRPr="00DD3FA2" w:rsidRDefault="007C22CA" w:rsidP="007C22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FA2">
        <w:rPr>
          <w:rFonts w:ascii="Times New Roman" w:hAnsi="Times New Roman" w:cs="Times New Roman"/>
          <w:sz w:val="24"/>
          <w:szCs w:val="24"/>
        </w:rPr>
        <w:t xml:space="preserve">- </w:t>
      </w:r>
      <w:r w:rsidRPr="00DD3FA2">
        <w:rPr>
          <w:rFonts w:ascii="Times New Roman" w:hAnsi="Times New Roman" w:cs="Times New Roman"/>
          <w:sz w:val="24"/>
          <w:szCs w:val="24"/>
          <w:u w:val="single"/>
        </w:rPr>
        <w:t xml:space="preserve">оплата </w:t>
      </w:r>
      <w:proofErr w:type="spellStart"/>
      <w:r w:rsidRPr="00DD3FA2">
        <w:rPr>
          <w:rFonts w:ascii="Times New Roman" w:hAnsi="Times New Roman" w:cs="Times New Roman"/>
          <w:sz w:val="24"/>
          <w:szCs w:val="24"/>
          <w:u w:val="single"/>
        </w:rPr>
        <w:t>спожитих</w:t>
      </w:r>
      <w:proofErr w:type="spellEnd"/>
      <w:r w:rsidRPr="00DD3F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  <w:u w:val="single"/>
        </w:rPr>
        <w:t>енергоносіїв</w:t>
      </w:r>
      <w:proofErr w:type="spellEnd"/>
      <w:r w:rsidRPr="00DD3FA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освоєно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107,2 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.</w:t>
      </w:r>
    </w:p>
    <w:p w:rsidR="007C22CA" w:rsidRPr="00DD3FA2" w:rsidRDefault="007C22CA" w:rsidP="007C22C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A2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протязі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поточного року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бюджетні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використано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на оплату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447,4тис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22CA" w:rsidRPr="00DD3FA2" w:rsidRDefault="007C22CA" w:rsidP="007C22CA">
      <w:pPr>
        <w:numPr>
          <w:ilvl w:val="0"/>
          <w:numId w:val="2"/>
        </w:numPr>
        <w:tabs>
          <w:tab w:val="clear" w:pos="928"/>
          <w:tab w:val="left" w:pos="1134"/>
        </w:tabs>
        <w:suppressAutoHyphens/>
        <w:spacing w:after="0"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DD3FA2">
        <w:rPr>
          <w:rFonts w:ascii="Times New Roman" w:hAnsi="Times New Roman" w:cs="Times New Roman"/>
          <w:sz w:val="24"/>
          <w:szCs w:val="24"/>
        </w:rPr>
        <w:t xml:space="preserve">ПММ – 313,1 тис.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ідвіз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хворих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гемодіаліз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– 130,6 тис.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;</w:t>
      </w:r>
    </w:p>
    <w:p w:rsidR="007C22CA" w:rsidRPr="00DD3FA2" w:rsidRDefault="007C22CA" w:rsidP="007C22CA">
      <w:pPr>
        <w:numPr>
          <w:ilvl w:val="0"/>
          <w:numId w:val="2"/>
        </w:numPr>
        <w:tabs>
          <w:tab w:val="clear" w:pos="928"/>
          <w:tab w:val="left" w:pos="930"/>
        </w:tabs>
        <w:suppressAutoHyphens/>
        <w:spacing w:after="0"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запасні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ремонту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– 65,1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;</w:t>
      </w:r>
    </w:p>
    <w:p w:rsidR="007C22CA" w:rsidRPr="00DD3FA2" w:rsidRDefault="007C22CA" w:rsidP="007C22CA">
      <w:pPr>
        <w:numPr>
          <w:ilvl w:val="0"/>
          <w:numId w:val="2"/>
        </w:numPr>
        <w:tabs>
          <w:tab w:val="clear" w:pos="928"/>
          <w:tab w:val="left" w:pos="930"/>
        </w:tabs>
        <w:suppressAutoHyphens/>
        <w:spacing w:after="0" w:line="360" w:lineRule="auto"/>
        <w:ind w:hanging="21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господарські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– 21,8 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;</w:t>
      </w:r>
    </w:p>
    <w:p w:rsidR="007C22CA" w:rsidRPr="00DD3FA2" w:rsidRDefault="007C22CA" w:rsidP="007C22CA">
      <w:pPr>
        <w:numPr>
          <w:ilvl w:val="0"/>
          <w:numId w:val="2"/>
        </w:numPr>
        <w:tabs>
          <w:tab w:val="clear" w:pos="928"/>
          <w:tab w:val="left" w:pos="930"/>
        </w:tabs>
        <w:suppressAutoHyphens/>
        <w:spacing w:after="0" w:line="360" w:lineRule="auto"/>
        <w:ind w:hanging="21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канцелярські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– 6,4 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;</w:t>
      </w:r>
    </w:p>
    <w:p w:rsidR="007C22CA" w:rsidRPr="00DD3FA2" w:rsidRDefault="007C22CA" w:rsidP="007C22CA">
      <w:pPr>
        <w:numPr>
          <w:ilvl w:val="0"/>
          <w:numId w:val="2"/>
        </w:numPr>
        <w:tabs>
          <w:tab w:val="clear" w:pos="928"/>
          <w:tab w:val="left" w:pos="930"/>
        </w:tabs>
        <w:suppressAutoHyphens/>
        <w:spacing w:after="0" w:line="360" w:lineRule="auto"/>
        <w:ind w:hanging="21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малоцінний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інвентар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– 7,1 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.</w:t>
      </w:r>
      <w:r w:rsidRPr="00DD3F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C22CA" w:rsidRPr="00DD3FA2" w:rsidRDefault="007C22CA" w:rsidP="007C22CA">
      <w:pPr>
        <w:numPr>
          <w:ilvl w:val="0"/>
          <w:numId w:val="2"/>
        </w:numPr>
        <w:tabs>
          <w:tab w:val="clear" w:pos="928"/>
          <w:tab w:val="left" w:pos="930"/>
        </w:tabs>
        <w:suppressAutoHyphens/>
        <w:spacing w:after="0" w:line="360" w:lineRule="auto"/>
        <w:ind w:hanging="21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Будівельні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- 33,9 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ривень</w:t>
      </w:r>
      <w:proofErr w:type="spellEnd"/>
    </w:p>
    <w:p w:rsidR="007C22CA" w:rsidRPr="00DD3FA2" w:rsidRDefault="007C22CA" w:rsidP="007C22C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оплату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на суму 65,1 т</w:t>
      </w:r>
      <w:proofErr w:type="spellStart"/>
      <w:r w:rsidR="003C6581" w:rsidRPr="00D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>ис</w:t>
      </w:r>
      <w:proofErr w:type="spellEnd"/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C6581" w:rsidRPr="00D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C6581" w:rsidRPr="00D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>иве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C6581" w:rsidRPr="00D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7C22CA" w:rsidRPr="00DD3FA2" w:rsidRDefault="007C22CA" w:rsidP="003C6581">
      <w:pPr>
        <w:numPr>
          <w:ilvl w:val="0"/>
          <w:numId w:val="3"/>
        </w:numPr>
        <w:tabs>
          <w:tab w:val="num" w:pos="993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ремонт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автомобілів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– 29.9 тис</w:t>
      </w:r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>ривень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22CA" w:rsidRPr="00DD3FA2" w:rsidRDefault="007C22CA" w:rsidP="003C6581">
      <w:pPr>
        <w:numPr>
          <w:ilvl w:val="0"/>
          <w:numId w:val="3"/>
        </w:numPr>
        <w:tabs>
          <w:tab w:val="num" w:pos="644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телекомунікаційні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послуги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– 14.7 тис</w:t>
      </w:r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>ривень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22CA" w:rsidRPr="00DD3FA2" w:rsidRDefault="007C22CA" w:rsidP="003C6581">
      <w:pPr>
        <w:numPr>
          <w:ilvl w:val="0"/>
          <w:numId w:val="3"/>
        </w:numPr>
        <w:tabs>
          <w:tab w:val="num" w:pos="644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послуги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пожежної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сигналізації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– 6.4 тис</w:t>
      </w:r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>ривень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22CA" w:rsidRPr="00DD3FA2" w:rsidRDefault="007C22CA" w:rsidP="003C6581">
      <w:pPr>
        <w:numPr>
          <w:ilvl w:val="0"/>
          <w:numId w:val="3"/>
        </w:numPr>
        <w:tabs>
          <w:tab w:val="num" w:pos="644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страхування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перевірка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>ічного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стану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автомобіля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– 4.2 тис.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гривень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22CA" w:rsidRPr="00DD3FA2" w:rsidRDefault="007C22CA" w:rsidP="003C6581">
      <w:pPr>
        <w:numPr>
          <w:ilvl w:val="0"/>
          <w:numId w:val="3"/>
        </w:numPr>
        <w:tabs>
          <w:tab w:val="num" w:pos="644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тех</w:t>
      </w:r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>бслуговування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стану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газопроводів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- 7.6 тис.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гривень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22CA" w:rsidRPr="00DD3FA2" w:rsidRDefault="007C22CA" w:rsidP="003C6581">
      <w:pPr>
        <w:numPr>
          <w:ilvl w:val="0"/>
          <w:numId w:val="3"/>
        </w:numPr>
        <w:tabs>
          <w:tab w:val="num" w:pos="644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ремонт </w:t>
      </w:r>
      <w:proofErr w:type="spell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компюторної</w:t>
      </w:r>
      <w:proofErr w:type="spellEnd"/>
      <w:r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3FA2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gramEnd"/>
      <w:r w:rsidRPr="00DD3FA2">
        <w:rPr>
          <w:rFonts w:ascii="Times New Roman" w:hAnsi="Times New Roman" w:cs="Times New Roman"/>
          <w:color w:val="000000"/>
          <w:sz w:val="24"/>
          <w:szCs w:val="24"/>
        </w:rPr>
        <w:t>іки-2.3</w:t>
      </w:r>
      <w:r w:rsidR="003C6581" w:rsidRPr="00D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тис. гривень.</w:t>
      </w:r>
    </w:p>
    <w:p w:rsidR="007C22CA" w:rsidRPr="00DD3FA2" w:rsidRDefault="003C6581" w:rsidP="003C6581">
      <w:pPr>
        <w:tabs>
          <w:tab w:val="left" w:pos="93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оплату </w:t>
      </w:r>
      <w:proofErr w:type="gramStart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>відрядження</w:t>
      </w:r>
      <w:proofErr w:type="spellEnd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>сумі</w:t>
      </w:r>
      <w:proofErr w:type="spellEnd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5000грн.</w:t>
      </w:r>
    </w:p>
    <w:p w:rsidR="007C22CA" w:rsidRPr="00DD3FA2" w:rsidRDefault="003C6581" w:rsidP="003C6581">
      <w:pPr>
        <w:tabs>
          <w:tab w:val="left" w:pos="93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оплату  </w:t>
      </w:r>
      <w:proofErr w:type="spellStart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>медикаментів</w:t>
      </w:r>
      <w:proofErr w:type="spellEnd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на суму -5.3 тис</w:t>
      </w:r>
      <w:proofErr w:type="gramStart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>ривень</w:t>
      </w:r>
      <w:proofErr w:type="spellEnd"/>
      <w:r w:rsidR="007C22CA" w:rsidRPr="00DD3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22CA" w:rsidRPr="00DD3FA2" w:rsidRDefault="007C22CA" w:rsidP="007C22CA">
      <w:pPr>
        <w:tabs>
          <w:tab w:val="left" w:pos="735"/>
        </w:tabs>
        <w:spacing w:after="0"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DD3F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фонду бюджету на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)  за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  2019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lastRenderedPageBreak/>
        <w:t>освоєно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платних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суму 288,4 тис.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проводилася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оплата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видаткі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повноцінного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центру. </w:t>
      </w:r>
    </w:p>
    <w:p w:rsidR="003C6581" w:rsidRPr="00DD3FA2" w:rsidRDefault="007C22CA" w:rsidP="003C658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Збільшено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фонди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безкоштовного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вартістю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1,139тис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рн.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інвалідів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безкоштовної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майна з балансу Новоушицької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ради- на суму </w:t>
      </w:r>
    </w:p>
    <w:p w:rsidR="007C22CA" w:rsidRPr="00DD3FA2" w:rsidRDefault="007C22CA" w:rsidP="003C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FA2">
        <w:rPr>
          <w:rFonts w:ascii="Times New Roman" w:hAnsi="Times New Roman" w:cs="Times New Roman"/>
          <w:sz w:val="24"/>
          <w:szCs w:val="24"/>
        </w:rPr>
        <w:t>19,6</w:t>
      </w:r>
      <w:r w:rsidR="003C6581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FA2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6581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рн.</w:t>
      </w:r>
    </w:p>
    <w:p w:rsidR="003C6581" w:rsidRPr="00DD3FA2" w:rsidRDefault="007C22CA" w:rsidP="003C658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 за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фонду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r w:rsidR="003C6581" w:rsidRPr="00DD3FA2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gramEnd"/>
    </w:p>
    <w:p w:rsidR="007C22CA" w:rsidRPr="00DD3FA2" w:rsidRDefault="007C22CA" w:rsidP="003C6581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3FA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>ісло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парикмахерське-5,6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3C6581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FA2">
        <w:rPr>
          <w:rFonts w:ascii="Times New Roman" w:hAnsi="Times New Roman" w:cs="Times New Roman"/>
          <w:sz w:val="24"/>
          <w:szCs w:val="24"/>
        </w:rPr>
        <w:t>грн.</w:t>
      </w:r>
      <w:r w:rsidR="003C6581" w:rsidRPr="00DD3FA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C22CA" w:rsidRPr="00DD3FA2" w:rsidRDefault="003C6581" w:rsidP="003C6581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FA2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7C22CA" w:rsidRPr="00DD3FA2">
        <w:rPr>
          <w:rFonts w:ascii="Times New Roman" w:hAnsi="Times New Roman" w:cs="Times New Roman"/>
          <w:sz w:val="24"/>
          <w:szCs w:val="24"/>
        </w:rPr>
        <w:t>оші</w:t>
      </w:r>
      <w:proofErr w:type="spellEnd"/>
      <w:r w:rsidR="007C22CA"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2CA" w:rsidRPr="00DD3FA2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="007C22CA" w:rsidRPr="00DD3FA2">
        <w:rPr>
          <w:rFonts w:ascii="Times New Roman" w:hAnsi="Times New Roman" w:cs="Times New Roman"/>
          <w:sz w:val="24"/>
          <w:szCs w:val="24"/>
        </w:rPr>
        <w:t xml:space="preserve"> -15,7</w:t>
      </w:r>
      <w:r w:rsidR="007C22CA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2CA" w:rsidRPr="00DD3FA2">
        <w:rPr>
          <w:rFonts w:ascii="Times New Roman" w:hAnsi="Times New Roman" w:cs="Times New Roman"/>
          <w:sz w:val="24"/>
          <w:szCs w:val="24"/>
        </w:rPr>
        <w:t>грн.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C22CA" w:rsidRPr="00DD3FA2" w:rsidRDefault="003C6581" w:rsidP="003C6581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="007C22CA" w:rsidRPr="00DD3FA2">
        <w:rPr>
          <w:rFonts w:ascii="Times New Roman" w:hAnsi="Times New Roman" w:cs="Times New Roman"/>
          <w:sz w:val="24"/>
          <w:szCs w:val="24"/>
        </w:rPr>
        <w:t>едичні</w:t>
      </w:r>
      <w:proofErr w:type="spellEnd"/>
      <w:r w:rsidR="007C22CA" w:rsidRPr="00DD3FA2">
        <w:rPr>
          <w:rFonts w:ascii="Times New Roman" w:hAnsi="Times New Roman" w:cs="Times New Roman"/>
          <w:sz w:val="24"/>
          <w:szCs w:val="24"/>
        </w:rPr>
        <w:t xml:space="preserve"> електроди-1,0</w:t>
      </w:r>
      <w:r w:rsidR="007C22CA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2CA" w:rsidRPr="00DD3FA2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C22CA" w:rsidRPr="00DD3FA2" w:rsidRDefault="007C22CA" w:rsidP="003C6581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малоцінний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інвентар-7,9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тис</w:t>
      </w:r>
      <w:proofErr w:type="gramStart"/>
      <w:r w:rsidRPr="00DD3FA2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="003C6581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D3FA2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  <w:lang w:val="uk-UA"/>
        </w:rPr>
        <w:t>рн.</w:t>
      </w:r>
    </w:p>
    <w:p w:rsidR="007C22CA" w:rsidRPr="00DD3FA2" w:rsidRDefault="007C22CA" w:rsidP="003C658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sz w:val="24"/>
          <w:szCs w:val="24"/>
        </w:rPr>
        <w:t xml:space="preserve">Введено в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експлуатацію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тротуарну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доріжку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11,2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тис</w:t>
      </w:r>
      <w:proofErr w:type="gramStart"/>
      <w:r w:rsidRPr="00DD3FA2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="003C6581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рн.  Списано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непридатні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використанн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D3FA2">
        <w:rPr>
          <w:rFonts w:ascii="Times New Roman" w:hAnsi="Times New Roman" w:cs="Times New Roman"/>
          <w:sz w:val="24"/>
          <w:szCs w:val="24"/>
        </w:rPr>
        <w:t xml:space="preserve"> на суму 10371</w:t>
      </w:r>
      <w:r w:rsidR="000C799F"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0C799F" w:rsidRPr="00DD3F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799F" w:rsidRPr="00DD3FA2" w:rsidRDefault="000C799F" w:rsidP="000C799F">
      <w:pPr>
        <w:spacing w:after="0" w:line="360" w:lineRule="auto"/>
        <w:ind w:left="-284" w:firstLine="710"/>
        <w:rPr>
          <w:rFonts w:ascii="Times New Roman" w:hAnsi="Times New Roman" w:cs="Times New Roman"/>
          <w:sz w:val="24"/>
          <w:szCs w:val="24"/>
          <w:lang w:val="uk-UA"/>
        </w:rPr>
      </w:pPr>
      <w:r w:rsidRPr="00DD3FA2">
        <w:rPr>
          <w:rFonts w:ascii="Times New Roman" w:hAnsi="Times New Roman" w:cs="Times New Roman"/>
          <w:sz w:val="24"/>
          <w:szCs w:val="24"/>
          <w:lang w:val="uk-UA"/>
        </w:rPr>
        <w:t>Капітальні видатки заплановано 60 тис. грн., використано 48,185 тис. грн..</w:t>
      </w:r>
    </w:p>
    <w:p w:rsidR="007C22CA" w:rsidRPr="00DD3FA2" w:rsidRDefault="007C22CA" w:rsidP="003C6581">
      <w:pPr>
        <w:spacing w:after="0" w:line="360" w:lineRule="auto"/>
        <w:ind w:left="-284" w:firstLine="71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Кредиторська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заборгованість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за 2019</w:t>
      </w:r>
      <w:r w:rsidRPr="00DD3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D3F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3FA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D3FA2">
        <w:rPr>
          <w:rFonts w:ascii="Times New Roman" w:hAnsi="Times New Roman" w:cs="Times New Roman"/>
          <w:sz w:val="24"/>
          <w:szCs w:val="24"/>
        </w:rPr>
        <w:t xml:space="preserve">к 2032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тимчасова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втрата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працездатності</w:t>
      </w:r>
      <w:proofErr w:type="spellEnd"/>
      <w:r w:rsidRPr="00DD3F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6560" w:rsidRPr="00DD3FA2" w:rsidRDefault="007C22CA" w:rsidP="003C6581">
      <w:pPr>
        <w:spacing w:after="0" w:line="360" w:lineRule="auto"/>
        <w:ind w:left="-284" w:firstLine="71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Дебіторська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заборгованість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22CA" w:rsidRPr="00DD3FA2" w:rsidRDefault="007C22CA" w:rsidP="005E6560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періодів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-8903 грн.-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періодичні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A2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DD3FA2">
        <w:rPr>
          <w:rFonts w:ascii="Times New Roman" w:hAnsi="Times New Roman" w:cs="Times New Roman"/>
          <w:sz w:val="24"/>
          <w:szCs w:val="24"/>
        </w:rPr>
        <w:t>.</w:t>
      </w:r>
    </w:p>
    <w:p w:rsidR="007C22CA" w:rsidRPr="00DD3FA2" w:rsidRDefault="005E6560" w:rsidP="005E6560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FA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22CA" w:rsidRPr="00DD3FA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C22CA" w:rsidRPr="00DD3FA2">
        <w:rPr>
          <w:rFonts w:ascii="Times New Roman" w:hAnsi="Times New Roman" w:cs="Times New Roman"/>
          <w:sz w:val="24"/>
          <w:szCs w:val="24"/>
        </w:rPr>
        <w:t>розрахунками</w:t>
      </w:r>
      <w:proofErr w:type="spellEnd"/>
      <w:r w:rsidR="007C22CA"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2CA" w:rsidRPr="00DD3FA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7C22CA" w:rsidRPr="00D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2CA" w:rsidRPr="00DD3FA2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7C22CA" w:rsidRPr="00DD3FA2">
        <w:rPr>
          <w:rFonts w:ascii="Times New Roman" w:hAnsi="Times New Roman" w:cs="Times New Roman"/>
          <w:sz w:val="24"/>
          <w:szCs w:val="24"/>
        </w:rPr>
        <w:t xml:space="preserve"> страхування-2032грн.</w:t>
      </w:r>
    </w:p>
    <w:p w:rsidR="0052186B" w:rsidRPr="0052186B" w:rsidRDefault="00176E5C" w:rsidP="008B569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186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2186B" w:rsidRPr="005218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2186B" w:rsidRPr="0052186B" w:rsidRDefault="0052186B" w:rsidP="0052186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18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 використання коштів на перевезення хворих  на сеанси гемодіалізу  по </w:t>
      </w:r>
      <w:proofErr w:type="spellStart"/>
      <w:r w:rsidRPr="0052186B">
        <w:rPr>
          <w:rFonts w:ascii="Times New Roman" w:hAnsi="Times New Roman" w:cs="Times New Roman"/>
          <w:b/>
          <w:sz w:val="24"/>
          <w:szCs w:val="24"/>
          <w:lang w:val="uk-UA"/>
        </w:rPr>
        <w:t>Новоушицькому</w:t>
      </w:r>
      <w:proofErr w:type="spellEnd"/>
      <w:r w:rsidRPr="005218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територіальному центру </w:t>
      </w:r>
      <w:r w:rsidRPr="0052186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  2019рік</w:t>
      </w:r>
      <w:r w:rsidRPr="0052186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49"/>
        <w:gridCol w:w="1134"/>
        <w:gridCol w:w="1842"/>
        <w:gridCol w:w="1560"/>
        <w:gridCol w:w="1843"/>
      </w:tblGrid>
      <w:tr w:rsidR="0052186B" w:rsidRPr="00113E88" w:rsidTr="00CC2D77">
        <w:trPr>
          <w:trHeight w:val="490"/>
        </w:trPr>
        <w:tc>
          <w:tcPr>
            <w:tcW w:w="645" w:type="dxa"/>
            <w:vMerge w:val="restart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3E88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>Назва</w:t>
            </w:r>
          </w:p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>видатків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>Кількість</w:t>
            </w:r>
          </w:p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 xml:space="preserve">виїздів </w:t>
            </w:r>
          </w:p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>за 2019р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 xml:space="preserve">  ВИДАТКИ</w:t>
            </w:r>
          </w:p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>за  2019 рік</w:t>
            </w:r>
          </w:p>
        </w:tc>
      </w:tr>
      <w:tr w:rsidR="0052186B" w:rsidRPr="00113E88" w:rsidTr="00CC2D77">
        <w:trPr>
          <w:trHeight w:val="885"/>
        </w:trPr>
        <w:tc>
          <w:tcPr>
            <w:tcW w:w="645" w:type="dxa"/>
            <w:vMerge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 xml:space="preserve">План згідно програми, </w:t>
            </w:r>
            <w:proofErr w:type="spellStart"/>
            <w:r w:rsidRPr="00113E88">
              <w:rPr>
                <w:b/>
                <w:lang w:val="uk-UA"/>
              </w:rPr>
              <w:t>затверд</w:t>
            </w:r>
            <w:proofErr w:type="spellEnd"/>
            <w:r w:rsidRPr="00113E88">
              <w:rPr>
                <w:b/>
                <w:lang w:val="uk-UA"/>
              </w:rPr>
              <w:t xml:space="preserve">. </w:t>
            </w:r>
            <w:proofErr w:type="spellStart"/>
            <w:r w:rsidRPr="00113E88">
              <w:rPr>
                <w:b/>
                <w:lang w:val="uk-UA"/>
              </w:rPr>
              <w:t>рішен</w:t>
            </w:r>
            <w:proofErr w:type="spellEnd"/>
            <w:r w:rsidRPr="00113E88">
              <w:rPr>
                <w:b/>
                <w:lang w:val="uk-UA"/>
              </w:rPr>
              <w:t>. сесії №9 від 21.12.2018р.</w:t>
            </w: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 xml:space="preserve">Виділено з бюджету  на виконання програми   </w:t>
            </w:r>
          </w:p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>впродовж  2019 р.</w:t>
            </w:r>
          </w:p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  <w:r w:rsidRPr="00113E88">
              <w:rPr>
                <w:b/>
                <w:lang w:val="uk-UA"/>
              </w:rPr>
              <w:t>Фактично використано в 2019р.</w:t>
            </w:r>
          </w:p>
        </w:tc>
      </w:tr>
      <w:tr w:rsidR="0052186B" w:rsidRPr="00113E88" w:rsidTr="00CC2D77">
        <w:tc>
          <w:tcPr>
            <w:tcW w:w="645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</w:t>
            </w:r>
          </w:p>
        </w:tc>
        <w:tc>
          <w:tcPr>
            <w:tcW w:w="3149" w:type="dxa"/>
            <w:shd w:val="clear" w:color="auto" w:fill="auto"/>
          </w:tcPr>
          <w:p w:rsidR="0052186B" w:rsidRPr="00113E88" w:rsidRDefault="0052186B" w:rsidP="00CC2D77">
            <w:pPr>
              <w:rPr>
                <w:lang w:val="uk-UA"/>
              </w:rPr>
            </w:pPr>
            <w:r w:rsidRPr="00113E88">
              <w:rPr>
                <w:lang w:val="uk-UA"/>
              </w:rPr>
              <w:t>Зарплата водія</w:t>
            </w:r>
          </w:p>
        </w:tc>
        <w:tc>
          <w:tcPr>
            <w:tcW w:w="1134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157</w:t>
            </w: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61300</w:t>
            </w: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30605</w:t>
            </w: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68486</w:t>
            </w:r>
          </w:p>
        </w:tc>
      </w:tr>
      <w:tr w:rsidR="0052186B" w:rsidRPr="00113E88" w:rsidTr="00CC2D77">
        <w:tc>
          <w:tcPr>
            <w:tcW w:w="645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lastRenderedPageBreak/>
              <w:t>2</w:t>
            </w:r>
          </w:p>
        </w:tc>
        <w:tc>
          <w:tcPr>
            <w:tcW w:w="3149" w:type="dxa"/>
            <w:shd w:val="clear" w:color="auto" w:fill="auto"/>
          </w:tcPr>
          <w:p w:rsidR="0052186B" w:rsidRPr="00113E88" w:rsidRDefault="0052186B" w:rsidP="00CC2D77">
            <w:pPr>
              <w:rPr>
                <w:lang w:val="uk-UA"/>
              </w:rPr>
            </w:pPr>
            <w:proofErr w:type="spellStart"/>
            <w:r w:rsidRPr="00113E88">
              <w:rPr>
                <w:lang w:val="uk-UA"/>
              </w:rPr>
              <w:t>Нарахув</w:t>
            </w:r>
            <w:proofErr w:type="spellEnd"/>
            <w:r w:rsidRPr="00113E88">
              <w:rPr>
                <w:lang w:val="uk-UA"/>
              </w:rPr>
              <w:t>. на з/ту</w:t>
            </w:r>
          </w:p>
        </w:tc>
        <w:tc>
          <w:tcPr>
            <w:tcW w:w="1134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13500</w:t>
            </w: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6733</w:t>
            </w: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15067</w:t>
            </w:r>
          </w:p>
        </w:tc>
      </w:tr>
      <w:tr w:rsidR="0052186B" w:rsidRPr="00113E88" w:rsidTr="00CC2D77">
        <w:tc>
          <w:tcPr>
            <w:tcW w:w="645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3</w:t>
            </w:r>
          </w:p>
        </w:tc>
        <w:tc>
          <w:tcPr>
            <w:tcW w:w="3149" w:type="dxa"/>
            <w:shd w:val="clear" w:color="auto" w:fill="auto"/>
          </w:tcPr>
          <w:p w:rsidR="0052186B" w:rsidRPr="00113E88" w:rsidRDefault="0052186B" w:rsidP="00CC2D77">
            <w:pPr>
              <w:rPr>
                <w:lang w:val="uk-UA"/>
              </w:rPr>
            </w:pPr>
            <w:r w:rsidRPr="00113E88">
              <w:rPr>
                <w:lang w:val="uk-UA"/>
              </w:rPr>
              <w:t>Паливно-мастильні матеріали</w:t>
            </w:r>
          </w:p>
        </w:tc>
        <w:tc>
          <w:tcPr>
            <w:tcW w:w="1134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143050</w:t>
            </w: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120417</w:t>
            </w: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81952</w:t>
            </w:r>
          </w:p>
        </w:tc>
      </w:tr>
      <w:tr w:rsidR="0052186B" w:rsidRPr="00113E88" w:rsidTr="00CC2D77">
        <w:tc>
          <w:tcPr>
            <w:tcW w:w="645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4</w:t>
            </w:r>
          </w:p>
        </w:tc>
        <w:tc>
          <w:tcPr>
            <w:tcW w:w="3149" w:type="dxa"/>
            <w:shd w:val="clear" w:color="auto" w:fill="auto"/>
          </w:tcPr>
          <w:p w:rsidR="0052186B" w:rsidRPr="00113E88" w:rsidRDefault="0052186B" w:rsidP="00CC2D77">
            <w:pPr>
              <w:rPr>
                <w:lang w:val="uk-UA"/>
              </w:rPr>
            </w:pPr>
            <w:r w:rsidRPr="00113E88">
              <w:rPr>
                <w:lang w:val="uk-UA"/>
              </w:rPr>
              <w:t xml:space="preserve">Т/О </w:t>
            </w:r>
            <w:proofErr w:type="spellStart"/>
            <w:r w:rsidRPr="00113E88">
              <w:rPr>
                <w:lang w:val="uk-UA"/>
              </w:rPr>
              <w:t>автолмобілів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9000</w:t>
            </w: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6425</w:t>
            </w: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10057</w:t>
            </w:r>
          </w:p>
        </w:tc>
      </w:tr>
      <w:tr w:rsidR="0052186B" w:rsidRPr="00113E88" w:rsidTr="00CC2D77">
        <w:tc>
          <w:tcPr>
            <w:tcW w:w="645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5</w:t>
            </w:r>
          </w:p>
        </w:tc>
        <w:tc>
          <w:tcPr>
            <w:tcW w:w="3149" w:type="dxa"/>
            <w:shd w:val="clear" w:color="auto" w:fill="auto"/>
          </w:tcPr>
          <w:p w:rsidR="0052186B" w:rsidRPr="00113E88" w:rsidRDefault="0052186B" w:rsidP="00CC2D77">
            <w:pPr>
              <w:rPr>
                <w:lang w:val="uk-UA"/>
              </w:rPr>
            </w:pPr>
            <w:r w:rsidRPr="00113E88">
              <w:rPr>
                <w:lang w:val="uk-UA"/>
              </w:rPr>
              <w:t xml:space="preserve"> Ремонт  </w:t>
            </w:r>
            <w:proofErr w:type="spellStart"/>
            <w:r w:rsidRPr="00113E88">
              <w:rPr>
                <w:lang w:val="uk-UA"/>
              </w:rPr>
              <w:t>автомоб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7000</w:t>
            </w: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6000</w:t>
            </w: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10271</w:t>
            </w:r>
          </w:p>
        </w:tc>
      </w:tr>
      <w:tr w:rsidR="0052186B" w:rsidRPr="00113E88" w:rsidTr="00CC2D77">
        <w:tc>
          <w:tcPr>
            <w:tcW w:w="645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8</w:t>
            </w:r>
          </w:p>
        </w:tc>
        <w:tc>
          <w:tcPr>
            <w:tcW w:w="3149" w:type="dxa"/>
            <w:shd w:val="clear" w:color="auto" w:fill="auto"/>
          </w:tcPr>
          <w:p w:rsidR="0052186B" w:rsidRPr="00113E88" w:rsidRDefault="0052186B" w:rsidP="00CC2D77">
            <w:pPr>
              <w:rPr>
                <w:lang w:val="uk-UA"/>
              </w:rPr>
            </w:pPr>
            <w:r w:rsidRPr="00113E88">
              <w:rPr>
                <w:lang w:val="uk-UA"/>
              </w:rPr>
              <w:t xml:space="preserve">Страхування </w:t>
            </w:r>
            <w:proofErr w:type="spellStart"/>
            <w:r w:rsidRPr="00113E88">
              <w:rPr>
                <w:lang w:val="uk-UA"/>
              </w:rPr>
              <w:t>авт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1850</w:t>
            </w: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1500</w:t>
            </w: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  <w:r w:rsidRPr="00113E88">
              <w:rPr>
                <w:lang w:val="uk-UA"/>
              </w:rPr>
              <w:t>1724</w:t>
            </w:r>
          </w:p>
        </w:tc>
      </w:tr>
      <w:tr w:rsidR="0052186B" w:rsidRPr="00113E88" w:rsidTr="00CC2D77">
        <w:tc>
          <w:tcPr>
            <w:tcW w:w="645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</w:p>
        </w:tc>
        <w:tc>
          <w:tcPr>
            <w:tcW w:w="3149" w:type="dxa"/>
            <w:shd w:val="clear" w:color="auto" w:fill="auto"/>
          </w:tcPr>
          <w:p w:rsidR="0052186B" w:rsidRPr="00113E88" w:rsidRDefault="0052186B" w:rsidP="00CC2D77">
            <w:pPr>
              <w:rPr>
                <w:b/>
                <w:sz w:val="28"/>
                <w:szCs w:val="28"/>
                <w:lang w:val="uk-UA"/>
              </w:rPr>
            </w:pPr>
            <w:r w:rsidRPr="00113E88">
              <w:rPr>
                <w:b/>
                <w:sz w:val="28"/>
                <w:szCs w:val="28"/>
                <w:lang w:val="uk-UA"/>
              </w:rPr>
              <w:t>ВСЬОГО витрат</w:t>
            </w:r>
          </w:p>
        </w:tc>
        <w:tc>
          <w:tcPr>
            <w:tcW w:w="1134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ind w:left="-958"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113E88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13E88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13E88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13E88">
              <w:rPr>
                <w:b/>
                <w:noProof/>
                <w:sz w:val="28"/>
                <w:szCs w:val="28"/>
                <w:lang w:val="uk-UA"/>
              </w:rPr>
              <w:t>235700</w:t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ind w:left="-958"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113E88">
              <w:rPr>
                <w:b/>
                <w:sz w:val="28"/>
                <w:szCs w:val="28"/>
                <w:lang w:val="uk-UA"/>
              </w:rPr>
              <w:t xml:space="preserve">          </w:t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13E88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13E88">
              <w:rPr>
                <w:b/>
                <w:noProof/>
                <w:sz w:val="28"/>
                <w:szCs w:val="28"/>
                <w:lang w:val="uk-UA"/>
              </w:rPr>
              <w:t>171680</w:t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3E88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13E88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13E88">
              <w:rPr>
                <w:b/>
                <w:noProof/>
                <w:sz w:val="28"/>
                <w:szCs w:val="28"/>
                <w:lang w:val="uk-UA"/>
              </w:rPr>
              <w:t>187557</w:t>
            </w:r>
            <w:r w:rsidRPr="00113E88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  <w:tr w:rsidR="0052186B" w:rsidRPr="00113E88" w:rsidTr="00CC2D77">
        <w:tc>
          <w:tcPr>
            <w:tcW w:w="645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</w:p>
        </w:tc>
        <w:tc>
          <w:tcPr>
            <w:tcW w:w="3149" w:type="dxa"/>
            <w:shd w:val="clear" w:color="auto" w:fill="auto"/>
          </w:tcPr>
          <w:p w:rsidR="0052186B" w:rsidRPr="00113E88" w:rsidRDefault="0052186B" w:rsidP="00CC2D77">
            <w:pPr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</w:tr>
      <w:tr w:rsidR="0052186B" w:rsidRPr="00113E88" w:rsidTr="00CC2D77">
        <w:tc>
          <w:tcPr>
            <w:tcW w:w="645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lang w:val="uk-UA"/>
              </w:rPr>
            </w:pPr>
          </w:p>
        </w:tc>
        <w:tc>
          <w:tcPr>
            <w:tcW w:w="3149" w:type="dxa"/>
            <w:shd w:val="clear" w:color="auto" w:fill="auto"/>
          </w:tcPr>
          <w:p w:rsidR="0052186B" w:rsidRPr="00113E88" w:rsidRDefault="0052186B" w:rsidP="00CC2D77">
            <w:pPr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52186B" w:rsidRPr="00113E88" w:rsidRDefault="0052186B" w:rsidP="00CC2D77">
            <w:pPr>
              <w:jc w:val="center"/>
              <w:rPr>
                <w:b/>
                <w:lang w:val="uk-UA"/>
              </w:rPr>
            </w:pPr>
          </w:p>
        </w:tc>
      </w:tr>
    </w:tbl>
    <w:p w:rsidR="0052186B" w:rsidRPr="00FB226E" w:rsidRDefault="0052186B" w:rsidP="0052186B">
      <w:pPr>
        <w:rPr>
          <w:lang w:val="uk-UA"/>
        </w:rPr>
      </w:pPr>
      <w:r>
        <w:rPr>
          <w:lang w:val="uk-UA"/>
        </w:rPr>
        <w:t>Фактичні видатки,</w:t>
      </w:r>
      <w:r w:rsidRPr="00FB226E">
        <w:rPr>
          <w:lang w:val="uk-UA"/>
        </w:rPr>
        <w:t xml:space="preserve"> </w:t>
      </w:r>
      <w:r>
        <w:rPr>
          <w:lang w:val="uk-UA"/>
        </w:rPr>
        <w:t xml:space="preserve"> в порівнянні із затвердженими коштами  рішенням сесії № 9 від 21.12.2018р. на виконання  Програми,  виконано на 79,6% в </w:t>
      </w:r>
      <w:proofErr w:type="spellStart"/>
      <w:r>
        <w:rPr>
          <w:lang w:val="uk-UA"/>
        </w:rPr>
        <w:t>зв»язку</w:t>
      </w:r>
      <w:proofErr w:type="spellEnd"/>
      <w:r>
        <w:rPr>
          <w:lang w:val="uk-UA"/>
        </w:rPr>
        <w:t xml:space="preserve"> із тим, що пункт проведення гемодіалізу перенесено із м. </w:t>
      </w:r>
      <w:proofErr w:type="spellStart"/>
      <w:r>
        <w:rPr>
          <w:lang w:val="uk-UA"/>
        </w:rPr>
        <w:t>Кам-Подільського</w:t>
      </w:r>
      <w:proofErr w:type="spellEnd"/>
      <w:r>
        <w:rPr>
          <w:lang w:val="uk-UA"/>
        </w:rPr>
        <w:t xml:space="preserve"> в  </w:t>
      </w:r>
      <w:proofErr w:type="spellStart"/>
      <w:r>
        <w:rPr>
          <w:lang w:val="uk-UA"/>
        </w:rPr>
        <w:t>м.Дунаївці</w:t>
      </w:r>
      <w:proofErr w:type="spellEnd"/>
      <w:r>
        <w:rPr>
          <w:lang w:val="uk-UA"/>
        </w:rPr>
        <w:t>, за рахунок чого зменшилась потреба в паливно-мастильних матеріалах. Проте, збільшились витрати на ремонт та техобслуговування автомобілів .</w:t>
      </w:r>
    </w:p>
    <w:p w:rsidR="00176E5C" w:rsidRDefault="00176E5C" w:rsidP="00176E5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62111" w:rsidRPr="00162111" w:rsidRDefault="00162111" w:rsidP="00162111">
      <w:pPr>
        <w:pStyle w:val="a9"/>
        <w:tabs>
          <w:tab w:val="left" w:pos="54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Pr="001621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1621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С.Мегель</w:t>
      </w:r>
    </w:p>
    <w:p w:rsidR="00162111" w:rsidRPr="00162111" w:rsidRDefault="00162111">
      <w:pPr>
        <w:pStyle w:val="a9"/>
        <w:tabs>
          <w:tab w:val="left" w:pos="54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162111" w:rsidRPr="00162111" w:rsidSect="007C22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728"/>
        </w:tabs>
        <w:ind w:left="21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28"/>
        </w:tabs>
        <w:ind w:left="23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28"/>
        </w:tabs>
        <w:ind w:left="24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25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27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8"/>
        </w:tabs>
        <w:ind w:left="28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30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31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8"/>
        </w:tabs>
        <w:ind w:left="3312" w:hanging="1584"/>
      </w:pPr>
    </w:lvl>
  </w:abstractNum>
  <w:abstractNum w:abstractNumId="1">
    <w:nsid w:val="20F93815"/>
    <w:multiLevelType w:val="hybridMultilevel"/>
    <w:tmpl w:val="1F6AADC6"/>
    <w:lvl w:ilvl="0" w:tplc="E19A5C02">
      <w:numFmt w:val="bullet"/>
      <w:lvlText w:val="-"/>
      <w:lvlJc w:val="left"/>
      <w:pPr>
        <w:tabs>
          <w:tab w:val="num" w:pos="948"/>
        </w:tabs>
        <w:ind w:left="948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">
    <w:nsid w:val="36E81CCE"/>
    <w:multiLevelType w:val="multilevel"/>
    <w:tmpl w:val="2CE01C4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05" w:hanging="2160"/>
      </w:pPr>
      <w:rPr>
        <w:rFonts w:hint="default"/>
      </w:rPr>
    </w:lvl>
  </w:abstractNum>
  <w:abstractNum w:abstractNumId="3">
    <w:nsid w:val="4AC659C2"/>
    <w:multiLevelType w:val="hybridMultilevel"/>
    <w:tmpl w:val="63F0879E"/>
    <w:lvl w:ilvl="0" w:tplc="895868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5C"/>
    <w:rsid w:val="000C799F"/>
    <w:rsid w:val="00162111"/>
    <w:rsid w:val="00176E5C"/>
    <w:rsid w:val="00320DD5"/>
    <w:rsid w:val="00386677"/>
    <w:rsid w:val="003C6581"/>
    <w:rsid w:val="003F47DD"/>
    <w:rsid w:val="00407E0A"/>
    <w:rsid w:val="00496CFC"/>
    <w:rsid w:val="004A7EA8"/>
    <w:rsid w:val="0052186B"/>
    <w:rsid w:val="00567DFF"/>
    <w:rsid w:val="005813FD"/>
    <w:rsid w:val="005E5AD1"/>
    <w:rsid w:val="005E6560"/>
    <w:rsid w:val="00675E9C"/>
    <w:rsid w:val="006E0B7F"/>
    <w:rsid w:val="007C22CA"/>
    <w:rsid w:val="008B569D"/>
    <w:rsid w:val="009C3E9E"/>
    <w:rsid w:val="00A07C40"/>
    <w:rsid w:val="00AA34D1"/>
    <w:rsid w:val="00AE00A4"/>
    <w:rsid w:val="00B71C4A"/>
    <w:rsid w:val="00BF27B4"/>
    <w:rsid w:val="00C17913"/>
    <w:rsid w:val="00CF5E03"/>
    <w:rsid w:val="00D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E5C"/>
    <w:pPr>
      <w:keepNext/>
      <w:widowControl w:val="0"/>
      <w:numPr>
        <w:numId w:val="1"/>
      </w:numPr>
      <w:tabs>
        <w:tab w:val="clear" w:pos="1728"/>
        <w:tab w:val="num" w:pos="0"/>
      </w:tabs>
      <w:suppressAutoHyphens/>
      <w:spacing w:after="0" w:line="240" w:lineRule="auto"/>
      <w:ind w:left="432"/>
      <w:jc w:val="center"/>
      <w:outlineLvl w:val="0"/>
    </w:pPr>
    <w:rPr>
      <w:rFonts w:ascii="Times New Roman" w:eastAsia="Andale Sans UI" w:hAnsi="Times New Roman" w:cs="Times New Roman"/>
      <w:b/>
      <w:bCs/>
      <w:kern w:val="1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E5C"/>
    <w:rPr>
      <w:rFonts w:ascii="Times New Roman" w:eastAsia="Andale Sans UI" w:hAnsi="Times New Roman" w:cs="Times New Roman"/>
      <w:b/>
      <w:bCs/>
      <w:kern w:val="1"/>
      <w:sz w:val="28"/>
      <w:szCs w:val="24"/>
      <w:lang w:val="uk-UA" w:eastAsia="zh-CN"/>
    </w:rPr>
  </w:style>
  <w:style w:type="character" w:styleId="a3">
    <w:name w:val="Hyperlink"/>
    <w:rsid w:val="00176E5C"/>
    <w:rPr>
      <w:color w:val="0000FF"/>
      <w:u w:val="single"/>
    </w:rPr>
  </w:style>
  <w:style w:type="paragraph" w:styleId="a4">
    <w:name w:val="Body Text"/>
    <w:basedOn w:val="a"/>
    <w:link w:val="a5"/>
    <w:rsid w:val="00176E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176E5C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Body Text Indent"/>
    <w:basedOn w:val="a"/>
    <w:link w:val="a7"/>
    <w:rsid w:val="00176E5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uk-UA" w:eastAsia="zh-CN"/>
    </w:rPr>
  </w:style>
  <w:style w:type="character" w:customStyle="1" w:styleId="a7">
    <w:name w:val="Основной текст с отступом Знак"/>
    <w:basedOn w:val="a0"/>
    <w:link w:val="a6"/>
    <w:rsid w:val="00176E5C"/>
    <w:rPr>
      <w:rFonts w:ascii="Times New Roman" w:eastAsia="Andale Sans UI" w:hAnsi="Times New Roman" w:cs="Times New Roman"/>
      <w:kern w:val="1"/>
      <w:sz w:val="24"/>
      <w:szCs w:val="24"/>
      <w:lang w:val="uk-UA" w:eastAsia="zh-CN"/>
    </w:rPr>
  </w:style>
  <w:style w:type="paragraph" w:customStyle="1" w:styleId="a8">
    <w:name w:val="a"/>
    <w:basedOn w:val="a"/>
    <w:rsid w:val="00176E5C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xfm53320500">
    <w:name w:val="xfm_53320500"/>
    <w:rsid w:val="00176E5C"/>
  </w:style>
  <w:style w:type="paragraph" w:styleId="a9">
    <w:name w:val="No Spacing"/>
    <w:uiPriority w:val="1"/>
    <w:qFormat/>
    <w:rsid w:val="00176E5C"/>
    <w:pPr>
      <w:spacing w:after="0" w:line="240" w:lineRule="auto"/>
    </w:pPr>
  </w:style>
  <w:style w:type="character" w:customStyle="1" w:styleId="xfmc3">
    <w:name w:val="xfmc3"/>
    <w:basedOn w:val="a0"/>
    <w:rsid w:val="006E0B7F"/>
  </w:style>
  <w:style w:type="paragraph" w:customStyle="1" w:styleId="xfmc2">
    <w:name w:val="xfmc2"/>
    <w:basedOn w:val="a"/>
    <w:rsid w:val="0038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C658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A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4D1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B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E5C"/>
    <w:pPr>
      <w:keepNext/>
      <w:widowControl w:val="0"/>
      <w:numPr>
        <w:numId w:val="1"/>
      </w:numPr>
      <w:tabs>
        <w:tab w:val="clear" w:pos="1728"/>
        <w:tab w:val="num" w:pos="0"/>
      </w:tabs>
      <w:suppressAutoHyphens/>
      <w:spacing w:after="0" w:line="240" w:lineRule="auto"/>
      <w:ind w:left="432"/>
      <w:jc w:val="center"/>
      <w:outlineLvl w:val="0"/>
    </w:pPr>
    <w:rPr>
      <w:rFonts w:ascii="Times New Roman" w:eastAsia="Andale Sans UI" w:hAnsi="Times New Roman" w:cs="Times New Roman"/>
      <w:b/>
      <w:bCs/>
      <w:kern w:val="1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E5C"/>
    <w:rPr>
      <w:rFonts w:ascii="Times New Roman" w:eastAsia="Andale Sans UI" w:hAnsi="Times New Roman" w:cs="Times New Roman"/>
      <w:b/>
      <w:bCs/>
      <w:kern w:val="1"/>
      <w:sz w:val="28"/>
      <w:szCs w:val="24"/>
      <w:lang w:val="uk-UA" w:eastAsia="zh-CN"/>
    </w:rPr>
  </w:style>
  <w:style w:type="character" w:styleId="a3">
    <w:name w:val="Hyperlink"/>
    <w:rsid w:val="00176E5C"/>
    <w:rPr>
      <w:color w:val="0000FF"/>
      <w:u w:val="single"/>
    </w:rPr>
  </w:style>
  <w:style w:type="paragraph" w:styleId="a4">
    <w:name w:val="Body Text"/>
    <w:basedOn w:val="a"/>
    <w:link w:val="a5"/>
    <w:rsid w:val="00176E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176E5C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Body Text Indent"/>
    <w:basedOn w:val="a"/>
    <w:link w:val="a7"/>
    <w:rsid w:val="00176E5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uk-UA" w:eastAsia="zh-CN"/>
    </w:rPr>
  </w:style>
  <w:style w:type="character" w:customStyle="1" w:styleId="a7">
    <w:name w:val="Основной текст с отступом Знак"/>
    <w:basedOn w:val="a0"/>
    <w:link w:val="a6"/>
    <w:rsid w:val="00176E5C"/>
    <w:rPr>
      <w:rFonts w:ascii="Times New Roman" w:eastAsia="Andale Sans UI" w:hAnsi="Times New Roman" w:cs="Times New Roman"/>
      <w:kern w:val="1"/>
      <w:sz w:val="24"/>
      <w:szCs w:val="24"/>
      <w:lang w:val="uk-UA" w:eastAsia="zh-CN"/>
    </w:rPr>
  </w:style>
  <w:style w:type="paragraph" w:customStyle="1" w:styleId="a8">
    <w:name w:val="a"/>
    <w:basedOn w:val="a"/>
    <w:rsid w:val="00176E5C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xfm53320500">
    <w:name w:val="xfm_53320500"/>
    <w:rsid w:val="00176E5C"/>
  </w:style>
  <w:style w:type="paragraph" w:styleId="a9">
    <w:name w:val="No Spacing"/>
    <w:uiPriority w:val="1"/>
    <w:qFormat/>
    <w:rsid w:val="00176E5C"/>
    <w:pPr>
      <w:spacing w:after="0" w:line="240" w:lineRule="auto"/>
    </w:pPr>
  </w:style>
  <w:style w:type="character" w:customStyle="1" w:styleId="xfmc3">
    <w:name w:val="xfmc3"/>
    <w:basedOn w:val="a0"/>
    <w:rsid w:val="006E0B7F"/>
  </w:style>
  <w:style w:type="paragraph" w:customStyle="1" w:styleId="xfmc2">
    <w:name w:val="xfmc2"/>
    <w:basedOn w:val="a"/>
    <w:rsid w:val="0038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C658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A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4D1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B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3820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2020-02-26T09:37:00Z</cp:lastPrinted>
  <dcterms:created xsi:type="dcterms:W3CDTF">2020-02-07T12:53:00Z</dcterms:created>
  <dcterms:modified xsi:type="dcterms:W3CDTF">2020-02-26T09:38:00Z</dcterms:modified>
</cp:coreProperties>
</file>